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3855AC" w14:textId="1ECAD7D8"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#9</w:t>
      </w:r>
      <w:r w:rsidR="002C7743">
        <w:rPr>
          <w:b/>
          <w:noProof/>
          <w:sz w:val="24"/>
        </w:rPr>
        <w:t>8</w:t>
      </w:r>
      <w:r w:rsidR="00FA789E">
        <w:rPr>
          <w:b/>
          <w:noProof/>
          <w:sz w:val="24"/>
        </w:rPr>
        <w:t>e</w:t>
      </w:r>
      <w:r w:rsidRPr="007A171D">
        <w:rPr>
          <w:b/>
          <w:noProof/>
          <w:sz w:val="24"/>
        </w:rPr>
        <w:tab/>
      </w:r>
      <w:r w:rsidR="007A5385" w:rsidRPr="007A5385">
        <w:rPr>
          <w:b/>
          <w:noProof/>
          <w:sz w:val="24"/>
        </w:rPr>
        <w:t>R4-2101752</w:t>
      </w:r>
    </w:p>
    <w:p w14:paraId="0E3B9FE6" w14:textId="470D6863"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Electronic Meeting,</w:t>
      </w:r>
      <w:r w:rsidR="00C13288" w:rsidRPr="00C13288">
        <w:rPr>
          <w:rFonts w:eastAsia="宋体"/>
          <w:b/>
          <w:sz w:val="24"/>
          <w:szCs w:val="24"/>
          <w:lang w:eastAsia="zh-CN"/>
        </w:rPr>
        <w:t xml:space="preserve"> </w:t>
      </w:r>
      <w:r w:rsidR="00646F34" w:rsidRPr="00E70270">
        <w:rPr>
          <w:rFonts w:eastAsia="宋体"/>
          <w:b/>
          <w:sz w:val="24"/>
          <w:szCs w:val="24"/>
          <w:lang w:eastAsia="zh-CN"/>
        </w:rPr>
        <w:t>Jan. 25-Feb. 5, 2021</w:t>
      </w:r>
    </w:p>
    <w:p w14:paraId="2071EA10" w14:textId="77777777" w:rsidR="00233E8F" w:rsidRPr="004D1211" w:rsidRDefault="00233E8F" w:rsidP="005B1EEE">
      <w:pPr>
        <w:tabs>
          <w:tab w:val="left" w:pos="2820"/>
        </w:tabs>
        <w:spacing w:after="120"/>
        <w:ind w:left="1985" w:hanging="1985"/>
        <w:rPr>
          <w:rFonts w:ascii="Arial" w:hAnsi="Arial" w:cs="Arial"/>
          <w:b/>
          <w:lang w:eastAsia="ko-KR"/>
        </w:rPr>
      </w:pPr>
    </w:p>
    <w:p w14:paraId="4D2D216F" w14:textId="0733E5EE"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E7618A" w:rsidRPr="00E7618A">
        <w:rPr>
          <w:rFonts w:ascii="Arial" w:hAnsi="Arial" w:cs="Arial"/>
          <w:lang w:val="en-US"/>
        </w:rPr>
        <w:t>Discussion on inter-band CA HPUE SAR</w:t>
      </w:r>
    </w:p>
    <w:p w14:paraId="57686CF3" w14:textId="77777777"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14:paraId="5C288702" w14:textId="369308CA"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7A5385" w:rsidRPr="007A5385">
        <w:rPr>
          <w:rFonts w:ascii="Arial" w:hAnsi="Arial" w:cs="Arial"/>
          <w:lang w:val="en-US"/>
        </w:rPr>
        <w:t>9.18.2</w:t>
      </w:r>
      <w:bookmarkStart w:id="0" w:name="_GoBack"/>
      <w:bookmarkEnd w:id="0"/>
    </w:p>
    <w:p w14:paraId="19D044AD" w14:textId="77777777"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14:paraId="65E7585E" w14:textId="77777777" w:rsidR="002B6B5E" w:rsidRPr="005F0422" w:rsidRDefault="002B6B5E" w:rsidP="002B6B5E">
      <w:pPr>
        <w:pBdr>
          <w:bottom w:val="single" w:sz="4" w:space="1" w:color="auto"/>
        </w:pBdr>
        <w:rPr>
          <w:rFonts w:ascii="Arial" w:hAnsi="Arial" w:cs="Arial"/>
          <w:lang w:val="en-US"/>
        </w:rPr>
      </w:pPr>
    </w:p>
    <w:p w14:paraId="7735FED6" w14:textId="77777777" w:rsidR="00F60300" w:rsidRPr="005F0422" w:rsidRDefault="00F60300" w:rsidP="00F60300">
      <w:pPr>
        <w:tabs>
          <w:tab w:val="left" w:pos="1530"/>
        </w:tabs>
        <w:ind w:right="936"/>
        <w:rPr>
          <w:rFonts w:ascii="Arial" w:hAnsi="Arial" w:cs="Arial"/>
          <w:color w:val="000000"/>
          <w:lang w:val="en-US" w:eastAsia="ko-KR"/>
        </w:rPr>
      </w:pPr>
    </w:p>
    <w:p w14:paraId="6D7E5F23" w14:textId="77777777" w:rsidR="00F60300" w:rsidRDefault="00F60300" w:rsidP="00B87A0F">
      <w:pPr>
        <w:pStyle w:val="afd"/>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14:paraId="6CD1C248" w14:textId="154BFFF7" w:rsidR="00D44FAD" w:rsidRDefault="00D44FAD" w:rsidP="00C559ED">
      <w:pPr>
        <w:jc w:val="both"/>
        <w:rPr>
          <w:rFonts w:eastAsia="宋体"/>
          <w:lang w:eastAsia="zh-CN"/>
        </w:rPr>
      </w:pPr>
      <w:r>
        <w:rPr>
          <w:rFonts w:eastAsia="宋体"/>
          <w:lang w:eastAsia="zh-CN"/>
        </w:rPr>
        <w:t xml:space="preserve">WI [1] was approved, in which </w:t>
      </w:r>
      <w:r w:rsidR="00DD6AE0">
        <w:rPr>
          <w:rFonts w:eastAsia="宋体"/>
          <w:lang w:eastAsia="zh-CN"/>
        </w:rPr>
        <w:t>inter-band CA</w:t>
      </w:r>
      <w:r>
        <w:rPr>
          <w:rFonts w:eastAsia="宋体"/>
          <w:lang w:eastAsia="zh-CN"/>
        </w:rPr>
        <w:t xml:space="preserve"> SAR issue is one of the topic.</w:t>
      </w:r>
      <w:r w:rsidR="00C559ED">
        <w:rPr>
          <w:rFonts w:eastAsia="宋体"/>
          <w:lang w:eastAsia="zh-CN"/>
        </w:rPr>
        <w:t xml:space="preserve"> Initial discussions happen in RAN4#9</w:t>
      </w:r>
      <w:r w:rsidR="0021063E">
        <w:rPr>
          <w:rFonts w:eastAsia="宋体"/>
          <w:lang w:eastAsia="zh-CN"/>
        </w:rPr>
        <w:t>7</w:t>
      </w:r>
      <w:r w:rsidR="00C559ED">
        <w:rPr>
          <w:rFonts w:eastAsia="宋体"/>
          <w:lang w:eastAsia="zh-CN"/>
        </w:rPr>
        <w:t xml:space="preserve">e, however, no conclusion was reached. </w:t>
      </w:r>
    </w:p>
    <w:p w14:paraId="2F1370A5" w14:textId="2B8C3E55" w:rsidR="00950A2D" w:rsidRDefault="0021063E" w:rsidP="00C559ED">
      <w:pPr>
        <w:jc w:val="both"/>
        <w:rPr>
          <w:rFonts w:eastAsia="宋体"/>
          <w:lang w:eastAsia="zh-CN"/>
        </w:rPr>
      </w:pPr>
      <w:r>
        <w:rPr>
          <w:noProof/>
          <w:lang w:val="en-US" w:eastAsia="zh-CN"/>
        </w:rPr>
        <w:drawing>
          <wp:inline distT="0" distB="0" distL="0" distR="0" wp14:anchorId="3E401C0B" wp14:editId="0F4894D4">
            <wp:extent cx="6264275" cy="2036445"/>
            <wp:effectExtent l="114300" t="95250" r="117475" b="971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64275" cy="2036445"/>
                    </a:xfrm>
                    <a:prstGeom prst="rect">
                      <a:avLst/>
                    </a:prstGeom>
                    <a:effectLst>
                      <a:outerShdw blurRad="63500" sx="102000" sy="102000" algn="ctr" rotWithShape="0">
                        <a:prstClr val="black">
                          <a:alpha val="40000"/>
                        </a:prstClr>
                      </a:outerShdw>
                    </a:effectLst>
                  </pic:spPr>
                </pic:pic>
              </a:graphicData>
            </a:graphic>
          </wp:inline>
        </w:drawing>
      </w:r>
    </w:p>
    <w:p w14:paraId="30E03E23" w14:textId="77777777" w:rsidR="00BF4621" w:rsidRDefault="00BF4621" w:rsidP="00C559ED">
      <w:pPr>
        <w:jc w:val="both"/>
        <w:rPr>
          <w:rFonts w:eastAsia="宋体"/>
          <w:lang w:eastAsia="zh-CN"/>
        </w:rPr>
      </w:pPr>
    </w:p>
    <w:p w14:paraId="46172B68" w14:textId="364FD6E6" w:rsidR="00D90483" w:rsidRDefault="00D90483" w:rsidP="00D90483">
      <w:pPr>
        <w:jc w:val="both"/>
        <w:rPr>
          <w:rFonts w:eastAsia="宋体"/>
          <w:lang w:eastAsia="zh-CN"/>
        </w:rPr>
      </w:pPr>
      <w:r>
        <w:rPr>
          <w:rFonts w:eastAsia="宋体"/>
          <w:lang w:eastAsia="zh-CN"/>
        </w:rPr>
        <w:t>This paper continue discuss t</w:t>
      </w:r>
      <w:r w:rsidR="004634ED">
        <w:rPr>
          <w:rFonts w:eastAsia="宋体" w:hint="eastAsia"/>
          <w:lang w:eastAsia="zh-CN"/>
        </w:rPr>
        <w:t>h</w:t>
      </w:r>
      <w:r w:rsidR="004634ED">
        <w:rPr>
          <w:rFonts w:eastAsia="宋体"/>
          <w:lang w:eastAsia="zh-CN"/>
        </w:rPr>
        <w:t>is aspect</w:t>
      </w:r>
      <w:r>
        <w:rPr>
          <w:rFonts w:eastAsia="宋体"/>
          <w:lang w:eastAsia="zh-CN"/>
        </w:rPr>
        <w:t>.</w:t>
      </w:r>
    </w:p>
    <w:p w14:paraId="01E91A50" w14:textId="77777777" w:rsidR="00D90483" w:rsidRDefault="00D90483" w:rsidP="00D90483">
      <w:pPr>
        <w:jc w:val="both"/>
        <w:rPr>
          <w:rFonts w:eastAsia="宋体"/>
          <w:lang w:eastAsia="zh-CN"/>
        </w:rPr>
      </w:pPr>
    </w:p>
    <w:p w14:paraId="66A32742" w14:textId="77777777" w:rsidR="00D90483" w:rsidRDefault="00D90483" w:rsidP="00D90483">
      <w:pPr>
        <w:pStyle w:val="afd"/>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14:paraId="76B4B356" w14:textId="2E40B7CC" w:rsidR="00DD6AE0" w:rsidRDefault="00DD6AE0" w:rsidP="00DD6AE0">
      <w:pPr>
        <w:jc w:val="both"/>
      </w:pPr>
      <w:r>
        <w:rPr>
          <w:rFonts w:eastAsia="宋体"/>
          <w:lang w:eastAsia="zh-CN"/>
        </w:rPr>
        <w:t xml:space="preserve">In [2], it pointed out that </w:t>
      </w:r>
      <w:r w:rsidRPr="00DD6AE0">
        <w:rPr>
          <w:rFonts w:eastAsia="宋体"/>
          <w:lang w:eastAsia="zh-CN"/>
        </w:rPr>
        <w:t xml:space="preserve">for EN-DC combinations, E-UTRA is MCG and </w:t>
      </w:r>
      <w:r>
        <w:rPr>
          <w:rFonts w:eastAsia="宋体"/>
          <w:lang w:eastAsia="zh-CN"/>
        </w:rPr>
        <w:t>is</w:t>
      </w:r>
      <w:r w:rsidRPr="00DD6AE0">
        <w:rPr>
          <w:rFonts w:eastAsia="宋体"/>
          <w:lang w:eastAsia="zh-CN"/>
        </w:rPr>
        <w:t xml:space="preserve"> prioritized</w:t>
      </w:r>
      <w:r>
        <w:rPr>
          <w:rFonts w:eastAsia="宋体"/>
          <w:lang w:eastAsia="zh-CN"/>
        </w:rPr>
        <w:t xml:space="preserve"> so t</w:t>
      </w:r>
      <w:r w:rsidRPr="00DD6AE0">
        <w:rPr>
          <w:rFonts w:eastAsia="宋体"/>
          <w:lang w:eastAsia="zh-CN"/>
        </w:rPr>
        <w:t>he duty cycle solution is report</w:t>
      </w:r>
      <w:r>
        <w:rPr>
          <w:rFonts w:eastAsia="宋体"/>
          <w:lang w:eastAsia="zh-CN"/>
        </w:rPr>
        <w:t>ing</w:t>
      </w:r>
      <w:r w:rsidRPr="00DD6AE0">
        <w:rPr>
          <w:rFonts w:eastAsia="宋体"/>
          <w:lang w:eastAsia="zh-CN"/>
        </w:rPr>
        <w:t xml:space="preserve"> SCG’s duty cycle according to MCG’s duty cycle. </w:t>
      </w:r>
      <w:r>
        <w:rPr>
          <w:rFonts w:eastAsia="宋体"/>
          <w:lang w:eastAsia="zh-CN"/>
        </w:rPr>
        <w:t>And f</w:t>
      </w:r>
      <w:r w:rsidRPr="00DD6AE0">
        <w:rPr>
          <w:rFonts w:eastAsia="宋体"/>
          <w:lang w:eastAsia="zh-CN"/>
        </w:rPr>
        <w:t xml:space="preserve">or inter-band 2UL CA, </w:t>
      </w:r>
      <w:r>
        <w:rPr>
          <w:rFonts w:hint="eastAsia"/>
        </w:rPr>
        <w:t xml:space="preserve">PCC/SCC </w:t>
      </w:r>
      <w:r>
        <w:t>configuration</w:t>
      </w:r>
      <w:r>
        <w:rPr>
          <w:rFonts w:hint="eastAsia"/>
        </w:rPr>
        <w:t xml:space="preserve"> is UE specific</w:t>
      </w:r>
      <w:r w:rsidR="00470A92">
        <w:t xml:space="preserve"> rather than fixed prioritization. Therefore, a</w:t>
      </w:r>
      <w:r w:rsidR="00470A92">
        <w:rPr>
          <w:rFonts w:hint="eastAsia"/>
        </w:rPr>
        <w:t xml:space="preserve"> solution </w:t>
      </w:r>
      <w:r w:rsidR="00470A92">
        <w:t>for inter-band UL CA</w:t>
      </w:r>
      <w:r w:rsidR="00470A92">
        <w:rPr>
          <w:rFonts w:hint="eastAsia"/>
        </w:rPr>
        <w:t xml:space="preserve"> is </w:t>
      </w:r>
      <w:r w:rsidR="00470A92">
        <w:t xml:space="preserve">proposed in [2] is </w:t>
      </w:r>
      <w:r w:rsidR="00470A92">
        <w:rPr>
          <w:rFonts w:hint="eastAsia"/>
        </w:rPr>
        <w:t xml:space="preserve">that </w:t>
      </w:r>
      <w:r w:rsidR="00470A92">
        <w:t>each</w:t>
      </w:r>
      <w:r w:rsidR="00470A92">
        <w:rPr>
          <w:rFonts w:hint="eastAsia"/>
        </w:rPr>
        <w:t xml:space="preserve"> carrier report UL duty cycle capability according to the other carrier</w:t>
      </w:r>
      <w:r w:rsidR="00470A92">
        <w:t>’</w:t>
      </w:r>
      <w:r w:rsidR="00470A92">
        <w:rPr>
          <w:rFonts w:hint="eastAsia"/>
        </w:rPr>
        <w:t xml:space="preserve">s </w:t>
      </w:r>
      <w:r w:rsidR="00470A92">
        <w:t>configuration</w:t>
      </w:r>
      <w:r w:rsidR="00470A92">
        <w:rPr>
          <w:rFonts w:hint="eastAsia"/>
        </w:rPr>
        <w:t>.</w:t>
      </w:r>
    </w:p>
    <w:p w14:paraId="03D7D7D1" w14:textId="0A7F2414" w:rsidR="00470A92" w:rsidRDefault="00470A92" w:rsidP="00DD6AE0">
      <w:pPr>
        <w:jc w:val="both"/>
      </w:pPr>
    </w:p>
    <w:p w14:paraId="4A97BAC1" w14:textId="36B70E08" w:rsidR="00470A92" w:rsidRDefault="00F60B0B" w:rsidP="00DD6AE0">
      <w:pPr>
        <w:jc w:val="both"/>
      </w:pPr>
      <w:r>
        <w:t>Following</w:t>
      </w:r>
      <w:r w:rsidR="00461B05">
        <w:t xml:space="preserve"> the approach</w:t>
      </w:r>
      <w:r w:rsidR="00470A92">
        <w:t xml:space="preserve">, </w:t>
      </w:r>
      <w:r>
        <w:t>UE reports a group of</w:t>
      </w:r>
      <w:r w:rsidR="00470A92">
        <w:t xml:space="preserve"> combined capabilit</w:t>
      </w:r>
      <w:r>
        <w:t xml:space="preserve">ies for Band X + Band Y, as </w:t>
      </w:r>
      <w:r w:rsidR="00826B8F">
        <w:t>below:</w:t>
      </w:r>
    </w:p>
    <w:p w14:paraId="111DD4B2" w14:textId="407567A9" w:rsidR="00C013DA" w:rsidRDefault="00C013DA" w:rsidP="00DD6AE0">
      <w:pPr>
        <w:jc w:val="both"/>
      </w:pPr>
    </w:p>
    <w:tbl>
      <w:tblPr>
        <w:tblStyle w:val="ab"/>
        <w:tblW w:w="0" w:type="auto"/>
        <w:tblLook w:val="04A0" w:firstRow="1" w:lastRow="0" w:firstColumn="1" w:lastColumn="0" w:noHBand="0" w:noVBand="1"/>
      </w:tblPr>
      <w:tblGrid>
        <w:gridCol w:w="9855"/>
      </w:tblGrid>
      <w:tr w:rsidR="00C013DA" w14:paraId="29EF4F91" w14:textId="77777777" w:rsidTr="00C013DA">
        <w:tc>
          <w:tcPr>
            <w:tcW w:w="9855" w:type="dxa"/>
          </w:tcPr>
          <w:p w14:paraId="79FC3E38" w14:textId="55361DF2" w:rsidR="00C013DA" w:rsidRDefault="00C013DA" w:rsidP="00C013DA">
            <w:pPr>
              <w:pStyle w:val="af5"/>
              <w:numPr>
                <w:ilvl w:val="0"/>
                <w:numId w:val="19"/>
              </w:numPr>
              <w:ind w:leftChars="0"/>
              <w:rPr>
                <w:rFonts w:ascii="Times New Roman" w:hAnsi="Times New Roman"/>
                <w:kern w:val="0"/>
                <w:szCs w:val="20"/>
                <w:lang w:val="en-GB" w:eastAsia="en-US"/>
              </w:rPr>
            </w:pPr>
            <w:r w:rsidRPr="00F60B0B">
              <w:rPr>
                <w:rFonts w:ascii="Times New Roman" w:hAnsi="Times New Roman"/>
                <w:kern w:val="0"/>
                <w:szCs w:val="20"/>
                <w:lang w:val="en-GB" w:eastAsia="en-US"/>
              </w:rPr>
              <w:t>UE reports (</w:t>
            </w:r>
            <w:r w:rsidR="00C8670B">
              <w:rPr>
                <w:rFonts w:ascii="Times New Roman" w:hAnsi="Times New Roman"/>
                <w:kern w:val="0"/>
                <w:szCs w:val="20"/>
                <w:lang w:val="en-GB" w:eastAsia="en-US"/>
              </w:rPr>
              <w:t>20</w:t>
            </w:r>
            <w:r w:rsidRPr="00F60B0B">
              <w:rPr>
                <w:rFonts w:ascii="Times New Roman" w:hAnsi="Times New Roman"/>
                <w:kern w:val="0"/>
                <w:szCs w:val="20"/>
                <w:lang w:val="en-GB" w:eastAsia="en-US"/>
              </w:rPr>
              <w:t xml:space="preserve">%, </w:t>
            </w:r>
            <w:r>
              <w:rPr>
                <w:rFonts w:ascii="Times New Roman" w:hAnsi="Times New Roman"/>
                <w:kern w:val="0"/>
                <w:szCs w:val="20"/>
                <w:lang w:val="en-GB" w:eastAsia="en-US"/>
              </w:rPr>
              <w:t>Y</w:t>
            </w:r>
            <w:r w:rsidRPr="00F60B0B">
              <w:rPr>
                <w:rFonts w:ascii="Times New Roman" w:hAnsi="Times New Roman"/>
                <w:kern w:val="0"/>
                <w:szCs w:val="20"/>
                <w:lang w:val="en-GB" w:eastAsia="en-US"/>
              </w:rPr>
              <w:t>1%), (</w:t>
            </w:r>
            <w:r w:rsidR="00C8670B">
              <w:rPr>
                <w:rFonts w:ascii="Times New Roman" w:hAnsi="Times New Roman"/>
                <w:kern w:val="0"/>
                <w:szCs w:val="20"/>
                <w:lang w:val="en-GB" w:eastAsia="en-US"/>
              </w:rPr>
              <w:t>40</w:t>
            </w:r>
            <w:r w:rsidRPr="00F60B0B">
              <w:rPr>
                <w:rFonts w:ascii="Times New Roman" w:hAnsi="Times New Roman"/>
                <w:kern w:val="0"/>
                <w:szCs w:val="20"/>
                <w:lang w:val="en-GB" w:eastAsia="en-US"/>
              </w:rPr>
              <w:t xml:space="preserve">%, </w:t>
            </w:r>
            <w:r>
              <w:rPr>
                <w:rFonts w:ascii="Times New Roman" w:hAnsi="Times New Roman"/>
                <w:kern w:val="0"/>
                <w:szCs w:val="20"/>
                <w:lang w:val="en-GB" w:eastAsia="en-US"/>
              </w:rPr>
              <w:t>Y</w:t>
            </w:r>
            <w:r w:rsidRPr="00F60B0B">
              <w:rPr>
                <w:rFonts w:ascii="Times New Roman" w:hAnsi="Times New Roman"/>
                <w:kern w:val="0"/>
                <w:szCs w:val="20"/>
                <w:lang w:val="en-GB" w:eastAsia="en-US"/>
              </w:rPr>
              <w:t>2%), (</w:t>
            </w:r>
            <w:r w:rsidR="00C8670B">
              <w:rPr>
                <w:rFonts w:ascii="Times New Roman" w:hAnsi="Times New Roman"/>
                <w:kern w:val="0"/>
                <w:szCs w:val="20"/>
                <w:lang w:val="en-GB" w:eastAsia="en-US"/>
              </w:rPr>
              <w:t>60</w:t>
            </w:r>
            <w:r w:rsidRPr="00F60B0B">
              <w:rPr>
                <w:rFonts w:ascii="Times New Roman" w:hAnsi="Times New Roman"/>
                <w:kern w:val="0"/>
                <w:szCs w:val="20"/>
                <w:lang w:val="en-GB" w:eastAsia="en-US"/>
              </w:rPr>
              <w:t xml:space="preserve">%, </w:t>
            </w:r>
            <w:r>
              <w:rPr>
                <w:rFonts w:ascii="Times New Roman" w:hAnsi="Times New Roman"/>
                <w:kern w:val="0"/>
                <w:szCs w:val="20"/>
                <w:lang w:val="en-GB" w:eastAsia="en-US"/>
              </w:rPr>
              <w:t>Y</w:t>
            </w:r>
            <w:r w:rsidRPr="00F60B0B">
              <w:rPr>
                <w:rFonts w:ascii="Times New Roman" w:hAnsi="Times New Roman"/>
                <w:kern w:val="0"/>
                <w:szCs w:val="20"/>
                <w:lang w:val="en-GB" w:eastAsia="en-US"/>
              </w:rPr>
              <w:t>3%), (</w:t>
            </w:r>
            <w:r w:rsidR="00C8670B">
              <w:rPr>
                <w:rFonts w:ascii="Times New Roman" w:hAnsi="Times New Roman"/>
                <w:kern w:val="0"/>
                <w:szCs w:val="20"/>
                <w:lang w:val="en-GB" w:eastAsia="en-US"/>
              </w:rPr>
              <w:t>80</w:t>
            </w:r>
            <w:r w:rsidRPr="00F60B0B">
              <w:rPr>
                <w:rFonts w:ascii="Times New Roman" w:hAnsi="Times New Roman"/>
                <w:kern w:val="0"/>
                <w:szCs w:val="20"/>
                <w:lang w:val="en-GB" w:eastAsia="en-US"/>
              </w:rPr>
              <w:t xml:space="preserve">%, </w:t>
            </w:r>
            <w:r>
              <w:rPr>
                <w:rFonts w:ascii="Times New Roman" w:hAnsi="Times New Roman"/>
                <w:kern w:val="0"/>
                <w:szCs w:val="20"/>
                <w:lang w:val="en-GB" w:eastAsia="en-US"/>
              </w:rPr>
              <w:t>Y</w:t>
            </w:r>
            <w:r w:rsidR="00DA07E2">
              <w:rPr>
                <w:rFonts w:ascii="Times New Roman" w:hAnsi="Times New Roman"/>
                <w:kern w:val="0"/>
                <w:szCs w:val="20"/>
                <w:lang w:val="en-GB" w:eastAsia="en-US"/>
              </w:rPr>
              <w:t>4</w:t>
            </w:r>
            <w:r w:rsidRPr="00F60B0B">
              <w:rPr>
                <w:rFonts w:ascii="Times New Roman" w:hAnsi="Times New Roman"/>
                <w:kern w:val="0"/>
                <w:szCs w:val="20"/>
                <w:lang w:val="en-GB" w:eastAsia="en-US"/>
              </w:rPr>
              <w:t>%)</w:t>
            </w:r>
          </w:p>
          <w:p w14:paraId="40681AB8" w14:textId="51850F2B" w:rsidR="003C222B" w:rsidRPr="003C222B" w:rsidRDefault="003C222B" w:rsidP="008147BD">
            <w:pPr>
              <w:pStyle w:val="af5"/>
              <w:numPr>
                <w:ilvl w:val="1"/>
                <w:numId w:val="19"/>
              </w:numPr>
              <w:ind w:leftChars="0"/>
              <w:jc w:val="left"/>
              <w:rPr>
                <w:rFonts w:ascii="Times New Roman" w:hAnsi="Times New Roman"/>
                <w:kern w:val="0"/>
                <w:szCs w:val="20"/>
                <w:lang w:val="en-GB" w:eastAsia="en-US"/>
              </w:rPr>
            </w:pPr>
            <w:r w:rsidRPr="003C222B">
              <w:rPr>
                <w:rFonts w:ascii="Times New Roman" w:eastAsiaTheme="minorEastAsia" w:hAnsi="Times New Roman" w:hint="eastAsia"/>
                <w:kern w:val="0"/>
                <w:szCs w:val="20"/>
                <w:lang w:val="en-GB" w:eastAsia="zh-CN"/>
              </w:rPr>
              <w:t>H</w:t>
            </w:r>
            <w:r w:rsidRPr="003C222B">
              <w:rPr>
                <w:rFonts w:ascii="Times New Roman" w:eastAsiaTheme="minorEastAsia" w:hAnsi="Times New Roman"/>
                <w:kern w:val="0"/>
                <w:szCs w:val="20"/>
                <w:lang w:val="en-GB" w:eastAsia="zh-CN"/>
              </w:rPr>
              <w:t xml:space="preserve">ere 20%, 40%, 60% and 80% are used as reference UL percentage in Band X, and </w:t>
            </w:r>
            <w:r w:rsidR="00DA07E2">
              <w:rPr>
                <w:rFonts w:ascii="Times New Roman" w:eastAsiaTheme="minorEastAsia" w:hAnsi="Times New Roman"/>
                <w:kern w:val="0"/>
                <w:szCs w:val="20"/>
                <w:lang w:val="en-GB" w:eastAsia="zh-CN"/>
              </w:rPr>
              <w:t>Yn% is the reported value with</w:t>
            </w:r>
            <w:r w:rsidRPr="003C222B">
              <w:rPr>
                <w:rFonts w:ascii="Times New Roman" w:eastAsiaTheme="minorEastAsia" w:hAnsi="Times New Roman"/>
                <w:kern w:val="0"/>
                <w:szCs w:val="20"/>
                <w:lang w:val="en-GB" w:eastAsia="zh-CN"/>
              </w:rPr>
              <w:t xml:space="preserve"> </w:t>
            </w:r>
            <w:r w:rsidRPr="003C222B">
              <w:rPr>
                <w:rFonts w:ascii="Times New Roman" w:hAnsi="Times New Roman"/>
                <w:kern w:val="0"/>
                <w:szCs w:val="20"/>
                <w:lang w:val="en-GB" w:eastAsia="en-US"/>
              </w:rPr>
              <w:t xml:space="preserve">Y1% &gt;Y2% </w:t>
            </w:r>
            <w:r w:rsidR="00DA07E2" w:rsidRPr="003C222B">
              <w:rPr>
                <w:rFonts w:ascii="Times New Roman" w:hAnsi="Times New Roman"/>
                <w:kern w:val="0"/>
                <w:szCs w:val="20"/>
                <w:lang w:val="en-GB" w:eastAsia="en-US"/>
              </w:rPr>
              <w:t>&gt;</w:t>
            </w:r>
            <w:r w:rsidRPr="003C222B">
              <w:rPr>
                <w:rFonts w:ascii="Times New Roman" w:hAnsi="Times New Roman"/>
                <w:kern w:val="0"/>
                <w:szCs w:val="20"/>
                <w:lang w:val="en-GB" w:eastAsia="en-US"/>
              </w:rPr>
              <w:t xml:space="preserve">Y3% </w:t>
            </w:r>
            <w:r w:rsidR="00DA07E2" w:rsidRPr="003C222B">
              <w:rPr>
                <w:rFonts w:ascii="Times New Roman" w:hAnsi="Times New Roman"/>
                <w:kern w:val="0"/>
                <w:szCs w:val="20"/>
                <w:lang w:val="en-GB" w:eastAsia="en-US"/>
              </w:rPr>
              <w:t>&gt;</w:t>
            </w:r>
            <w:r w:rsidRPr="003C222B">
              <w:rPr>
                <w:rFonts w:ascii="Times New Roman" w:hAnsi="Times New Roman"/>
                <w:kern w:val="0"/>
                <w:szCs w:val="20"/>
                <w:lang w:val="en-GB" w:eastAsia="en-US"/>
              </w:rPr>
              <w:t>Y4%</w:t>
            </w:r>
          </w:p>
          <w:p w14:paraId="6052BCE2" w14:textId="77777777" w:rsidR="00C013DA" w:rsidRDefault="00C013DA" w:rsidP="00C013DA">
            <w:pPr>
              <w:pStyle w:val="af5"/>
              <w:numPr>
                <w:ilvl w:val="0"/>
                <w:numId w:val="19"/>
              </w:numPr>
              <w:ind w:leftChars="0"/>
              <w:jc w:val="left"/>
              <w:rPr>
                <w:rFonts w:ascii="Times New Roman" w:hAnsi="Times New Roman"/>
                <w:kern w:val="0"/>
                <w:szCs w:val="20"/>
                <w:lang w:val="en-GB" w:eastAsia="en-US"/>
              </w:rPr>
            </w:pPr>
            <w:r>
              <w:rPr>
                <w:rFonts w:ascii="Times New Roman" w:hAnsi="Times New Roman"/>
                <w:kern w:val="0"/>
                <w:szCs w:val="20"/>
                <w:lang w:val="en-GB" w:eastAsia="en-US"/>
              </w:rPr>
              <w:t>When Band X is the PCC</w:t>
            </w:r>
          </w:p>
          <w:p w14:paraId="612526EE" w14:textId="272A1E0B" w:rsidR="00C013DA" w:rsidRDefault="00C013DA" w:rsidP="00C013DA">
            <w:pPr>
              <w:pStyle w:val="af5"/>
              <w:numPr>
                <w:ilvl w:val="1"/>
                <w:numId w:val="19"/>
              </w:numPr>
              <w:ind w:leftChars="0"/>
              <w:jc w:val="left"/>
              <w:rPr>
                <w:rFonts w:ascii="Times New Roman" w:hAnsi="Times New Roman"/>
                <w:kern w:val="0"/>
                <w:szCs w:val="20"/>
                <w:lang w:val="en-GB" w:eastAsia="en-US"/>
              </w:rPr>
            </w:pPr>
            <w:r>
              <w:rPr>
                <w:rFonts w:ascii="Times New Roman" w:hAnsi="Times New Roman"/>
                <w:kern w:val="0"/>
                <w:szCs w:val="20"/>
                <w:lang w:val="en-GB" w:eastAsia="en-US"/>
              </w:rPr>
              <w:t xml:space="preserve">The scheduled duty cycle for Band X is </w:t>
            </w:r>
            <w:r w:rsidR="00DA07E2">
              <w:rPr>
                <w:rFonts w:ascii="Times New Roman" w:hAnsi="Times New Roman"/>
                <w:kern w:val="0"/>
                <w:szCs w:val="20"/>
                <w:lang w:val="en-GB" w:eastAsia="en-US"/>
              </w:rPr>
              <w:t xml:space="preserve">30%, then it is </w:t>
            </w:r>
            <w:r>
              <w:rPr>
                <w:rFonts w:ascii="Times New Roman" w:hAnsi="Times New Roman"/>
                <w:kern w:val="0"/>
                <w:szCs w:val="20"/>
                <w:lang w:val="en-GB" w:eastAsia="en-US"/>
              </w:rPr>
              <w:t xml:space="preserve">between </w:t>
            </w:r>
            <w:r w:rsidR="00DA07E2">
              <w:rPr>
                <w:rFonts w:ascii="Times New Roman" w:hAnsi="Times New Roman"/>
                <w:kern w:val="0"/>
                <w:szCs w:val="20"/>
                <w:lang w:val="en-GB" w:eastAsia="en-US"/>
              </w:rPr>
              <w:t>20</w:t>
            </w:r>
            <w:r>
              <w:rPr>
                <w:rFonts w:ascii="Times New Roman" w:hAnsi="Times New Roman"/>
                <w:kern w:val="0"/>
                <w:szCs w:val="20"/>
                <w:lang w:val="en-GB" w:eastAsia="en-US"/>
              </w:rPr>
              <w:t xml:space="preserve">% and </w:t>
            </w:r>
            <w:r w:rsidR="00DA07E2">
              <w:rPr>
                <w:rFonts w:ascii="Times New Roman" w:hAnsi="Times New Roman"/>
                <w:kern w:val="0"/>
                <w:szCs w:val="20"/>
                <w:lang w:val="en-GB" w:eastAsia="en-US"/>
              </w:rPr>
              <w:t>40</w:t>
            </w:r>
            <w:r>
              <w:rPr>
                <w:rFonts w:ascii="Times New Roman" w:hAnsi="Times New Roman"/>
                <w:kern w:val="0"/>
                <w:szCs w:val="20"/>
                <w:lang w:val="en-GB" w:eastAsia="en-US"/>
              </w:rPr>
              <w:t>%</w:t>
            </w:r>
          </w:p>
          <w:p w14:paraId="695369D3" w14:textId="674D2465" w:rsidR="00C013DA" w:rsidRDefault="00C013DA" w:rsidP="00C013DA">
            <w:pPr>
              <w:pStyle w:val="af5"/>
              <w:numPr>
                <w:ilvl w:val="1"/>
                <w:numId w:val="19"/>
              </w:numPr>
              <w:ind w:leftChars="0"/>
              <w:jc w:val="left"/>
              <w:rPr>
                <w:rFonts w:ascii="Times New Roman" w:hAnsi="Times New Roman"/>
                <w:kern w:val="0"/>
                <w:szCs w:val="20"/>
                <w:lang w:val="en-GB" w:eastAsia="en-US"/>
              </w:rPr>
            </w:pPr>
            <w:r>
              <w:rPr>
                <w:rFonts w:ascii="Times New Roman" w:hAnsi="Times New Roman"/>
                <w:kern w:val="0"/>
                <w:szCs w:val="20"/>
                <w:lang w:val="en-GB" w:eastAsia="en-US"/>
              </w:rPr>
              <w:t>Then capability (</w:t>
            </w:r>
            <w:r w:rsidR="00DA07E2">
              <w:rPr>
                <w:rFonts w:ascii="Times New Roman" w:hAnsi="Times New Roman"/>
                <w:kern w:val="0"/>
                <w:szCs w:val="20"/>
                <w:lang w:val="en-GB" w:eastAsia="en-US"/>
              </w:rPr>
              <w:t>40</w:t>
            </w:r>
            <w:r>
              <w:rPr>
                <w:rFonts w:ascii="Times New Roman" w:hAnsi="Times New Roman"/>
                <w:kern w:val="0"/>
                <w:szCs w:val="20"/>
                <w:lang w:val="en-GB" w:eastAsia="en-US"/>
              </w:rPr>
              <w:t>%, Y</w:t>
            </w:r>
            <w:r w:rsidR="00DA07E2">
              <w:rPr>
                <w:rFonts w:ascii="Times New Roman" w:hAnsi="Times New Roman"/>
                <w:kern w:val="0"/>
                <w:szCs w:val="20"/>
                <w:lang w:val="en-GB" w:eastAsia="en-US"/>
              </w:rPr>
              <w:t>2%) is taken</w:t>
            </w:r>
          </w:p>
          <w:p w14:paraId="400FBD09" w14:textId="44B9E836" w:rsidR="00C013DA" w:rsidRPr="00F60B0B" w:rsidRDefault="00C013DA" w:rsidP="00C013DA">
            <w:pPr>
              <w:pStyle w:val="af5"/>
              <w:numPr>
                <w:ilvl w:val="1"/>
                <w:numId w:val="19"/>
              </w:numPr>
              <w:ind w:leftChars="0"/>
              <w:jc w:val="left"/>
              <w:rPr>
                <w:rFonts w:ascii="Times New Roman" w:hAnsi="Times New Roman"/>
                <w:kern w:val="0"/>
                <w:szCs w:val="20"/>
                <w:lang w:val="en-GB" w:eastAsia="en-US"/>
              </w:rPr>
            </w:pPr>
            <w:r>
              <w:rPr>
                <w:rFonts w:ascii="Times New Roman" w:hAnsi="Times New Roman"/>
                <w:kern w:val="0"/>
                <w:szCs w:val="20"/>
                <w:lang w:val="en-GB" w:eastAsia="en-US"/>
              </w:rPr>
              <w:t>Only when the scheduled duty cycle on Band Y is below Y</w:t>
            </w:r>
            <w:r w:rsidR="00DA07E2">
              <w:rPr>
                <w:rFonts w:ascii="Times New Roman" w:hAnsi="Times New Roman"/>
                <w:kern w:val="0"/>
                <w:szCs w:val="20"/>
                <w:lang w:val="en-GB" w:eastAsia="en-US"/>
              </w:rPr>
              <w:t>2% then the PC2 is applied</w:t>
            </w:r>
          </w:p>
          <w:p w14:paraId="36D3E600" w14:textId="77777777" w:rsidR="00C013DA" w:rsidRDefault="00C013DA" w:rsidP="00C013DA">
            <w:pPr>
              <w:pStyle w:val="af5"/>
              <w:ind w:leftChars="0" w:left="420"/>
              <w:jc w:val="left"/>
              <w:rPr>
                <w:rFonts w:ascii="Times New Roman" w:hAnsi="Times New Roman"/>
                <w:kern w:val="0"/>
                <w:szCs w:val="20"/>
                <w:lang w:val="en-GB" w:eastAsia="en-US"/>
              </w:rPr>
            </w:pPr>
          </w:p>
          <w:p w14:paraId="7A2B5EC5" w14:textId="77777777" w:rsidR="00C013DA" w:rsidRDefault="00C013DA" w:rsidP="00C013DA">
            <w:pPr>
              <w:pStyle w:val="af5"/>
              <w:numPr>
                <w:ilvl w:val="0"/>
                <w:numId w:val="19"/>
              </w:numPr>
              <w:ind w:leftChars="0"/>
              <w:jc w:val="left"/>
              <w:rPr>
                <w:rFonts w:ascii="Times New Roman" w:hAnsi="Times New Roman"/>
                <w:kern w:val="0"/>
                <w:szCs w:val="20"/>
                <w:lang w:val="en-GB" w:eastAsia="en-US"/>
              </w:rPr>
            </w:pPr>
            <w:r>
              <w:rPr>
                <w:rFonts w:ascii="Times New Roman" w:hAnsi="Times New Roman"/>
                <w:kern w:val="0"/>
                <w:szCs w:val="20"/>
                <w:lang w:val="en-GB" w:eastAsia="en-US"/>
              </w:rPr>
              <w:t>When Band Y is the PCC</w:t>
            </w:r>
          </w:p>
          <w:p w14:paraId="6CDFA46C" w14:textId="15CC65B9" w:rsidR="00C013DA" w:rsidRDefault="00C013DA" w:rsidP="00C013DA">
            <w:pPr>
              <w:pStyle w:val="af5"/>
              <w:numPr>
                <w:ilvl w:val="1"/>
                <w:numId w:val="19"/>
              </w:numPr>
              <w:ind w:leftChars="0"/>
              <w:jc w:val="left"/>
              <w:rPr>
                <w:rFonts w:ascii="Times New Roman" w:hAnsi="Times New Roman"/>
                <w:kern w:val="0"/>
                <w:szCs w:val="20"/>
                <w:lang w:val="en-GB" w:eastAsia="en-US"/>
              </w:rPr>
            </w:pPr>
            <w:r>
              <w:rPr>
                <w:rFonts w:ascii="Times New Roman" w:hAnsi="Times New Roman"/>
                <w:kern w:val="0"/>
                <w:szCs w:val="20"/>
                <w:lang w:val="en-GB" w:eastAsia="en-US"/>
              </w:rPr>
              <w:t>The scheduled duty cycle for Band Y is between Y</w:t>
            </w:r>
            <w:r w:rsidR="00A636B5">
              <w:rPr>
                <w:rFonts w:ascii="Times New Roman" w:hAnsi="Times New Roman"/>
                <w:kern w:val="0"/>
                <w:szCs w:val="20"/>
                <w:lang w:val="en-GB" w:eastAsia="en-US"/>
              </w:rPr>
              <w:t>1</w:t>
            </w:r>
            <w:r>
              <w:rPr>
                <w:rFonts w:ascii="Times New Roman" w:hAnsi="Times New Roman"/>
                <w:kern w:val="0"/>
                <w:szCs w:val="20"/>
                <w:lang w:val="en-GB" w:eastAsia="en-US"/>
              </w:rPr>
              <w:t>% and Y</w:t>
            </w:r>
            <w:r w:rsidR="00A636B5">
              <w:rPr>
                <w:rFonts w:ascii="Times New Roman" w:hAnsi="Times New Roman"/>
                <w:kern w:val="0"/>
                <w:szCs w:val="20"/>
                <w:lang w:val="en-GB" w:eastAsia="en-US"/>
              </w:rPr>
              <w:t>2</w:t>
            </w:r>
            <w:r>
              <w:rPr>
                <w:rFonts w:ascii="Times New Roman" w:hAnsi="Times New Roman"/>
                <w:kern w:val="0"/>
                <w:szCs w:val="20"/>
                <w:lang w:val="en-GB" w:eastAsia="en-US"/>
              </w:rPr>
              <w:t>%</w:t>
            </w:r>
          </w:p>
          <w:p w14:paraId="5AB3C2FC" w14:textId="3D352FFA" w:rsidR="00C013DA" w:rsidRDefault="00A636B5" w:rsidP="00C013DA">
            <w:pPr>
              <w:pStyle w:val="af5"/>
              <w:numPr>
                <w:ilvl w:val="1"/>
                <w:numId w:val="19"/>
              </w:numPr>
              <w:ind w:leftChars="0"/>
              <w:jc w:val="left"/>
              <w:rPr>
                <w:rFonts w:ascii="Times New Roman" w:hAnsi="Times New Roman"/>
                <w:kern w:val="0"/>
                <w:szCs w:val="20"/>
                <w:lang w:val="en-GB" w:eastAsia="en-US"/>
              </w:rPr>
            </w:pPr>
            <w:r>
              <w:rPr>
                <w:rFonts w:ascii="Times New Roman" w:hAnsi="Times New Roman"/>
                <w:kern w:val="0"/>
                <w:szCs w:val="20"/>
                <w:lang w:val="en-GB" w:eastAsia="en-US"/>
              </w:rPr>
              <w:t>Then capability (20%, Y1%) is taken.</w:t>
            </w:r>
          </w:p>
          <w:p w14:paraId="7B593FBE" w14:textId="448014D7" w:rsidR="00C013DA" w:rsidRPr="00C013DA" w:rsidRDefault="00C013DA" w:rsidP="00A636B5">
            <w:pPr>
              <w:pStyle w:val="af5"/>
              <w:numPr>
                <w:ilvl w:val="1"/>
                <w:numId w:val="19"/>
              </w:numPr>
              <w:ind w:leftChars="0"/>
              <w:jc w:val="left"/>
              <w:rPr>
                <w:rFonts w:ascii="Times New Roman" w:hAnsi="Times New Roman"/>
                <w:kern w:val="0"/>
                <w:szCs w:val="20"/>
                <w:lang w:val="en-GB" w:eastAsia="en-US"/>
              </w:rPr>
            </w:pPr>
            <w:r>
              <w:rPr>
                <w:rFonts w:ascii="Times New Roman" w:hAnsi="Times New Roman"/>
                <w:kern w:val="0"/>
                <w:szCs w:val="20"/>
                <w:lang w:val="en-GB" w:eastAsia="en-US"/>
              </w:rPr>
              <w:t xml:space="preserve">Only when the scheduled duty cycle on Band X is below </w:t>
            </w:r>
            <w:r w:rsidR="00A636B5">
              <w:rPr>
                <w:rFonts w:ascii="Times New Roman" w:hAnsi="Times New Roman"/>
                <w:kern w:val="0"/>
                <w:szCs w:val="20"/>
                <w:lang w:val="en-GB" w:eastAsia="en-US"/>
              </w:rPr>
              <w:t>20</w:t>
            </w:r>
            <w:r>
              <w:rPr>
                <w:rFonts w:ascii="Times New Roman" w:hAnsi="Times New Roman"/>
                <w:kern w:val="0"/>
                <w:szCs w:val="20"/>
                <w:lang w:val="en-GB" w:eastAsia="en-US"/>
              </w:rPr>
              <w:t>% then the PC2 is applied</w:t>
            </w:r>
          </w:p>
        </w:tc>
      </w:tr>
    </w:tbl>
    <w:p w14:paraId="7316A4AB" w14:textId="77777777" w:rsidR="00C013DA" w:rsidRDefault="00C013DA" w:rsidP="00DD6AE0">
      <w:pPr>
        <w:jc w:val="both"/>
      </w:pPr>
    </w:p>
    <w:p w14:paraId="62A7F508" w14:textId="15D3A668" w:rsidR="00826B8F" w:rsidRPr="00375F0D" w:rsidRDefault="00375F0D" w:rsidP="00DD6AE0">
      <w:pPr>
        <w:jc w:val="both"/>
        <w:rPr>
          <w:rFonts w:eastAsiaTheme="minorEastAsia"/>
          <w:lang w:eastAsia="zh-CN"/>
        </w:rPr>
      </w:pPr>
      <w:r>
        <w:rPr>
          <w:rFonts w:eastAsiaTheme="minorEastAsia" w:hint="eastAsia"/>
          <w:lang w:eastAsia="zh-CN"/>
        </w:rPr>
        <w:t>F</w:t>
      </w:r>
      <w:r>
        <w:rPr>
          <w:rFonts w:eastAsiaTheme="minorEastAsia"/>
          <w:lang w:eastAsia="zh-CN"/>
        </w:rPr>
        <w:t>rom above example it</w:t>
      </w:r>
      <w:r w:rsidR="00DA739A">
        <w:rPr>
          <w:rFonts w:eastAsiaTheme="minorEastAsia"/>
          <w:lang w:eastAsia="zh-CN"/>
        </w:rPr>
        <w:t xml:space="preserve"> can be seen that only four duty cycle capabilities need to be reported which is similar to FDD-TDD HPUE mechanism</w:t>
      </w:r>
      <w:r>
        <w:rPr>
          <w:rFonts w:eastAsiaTheme="minorEastAsia"/>
          <w:lang w:eastAsia="zh-CN"/>
        </w:rPr>
        <w:t>.</w:t>
      </w:r>
    </w:p>
    <w:p w14:paraId="5C41E66A" w14:textId="60FDBBEF" w:rsidR="00826B8F" w:rsidRDefault="00826B8F" w:rsidP="00DD6AE0">
      <w:pPr>
        <w:jc w:val="both"/>
        <w:rPr>
          <w:rFonts w:eastAsia="宋体"/>
          <w:lang w:eastAsia="zh-CN"/>
        </w:rPr>
      </w:pPr>
    </w:p>
    <w:p w14:paraId="0BFE45CB" w14:textId="34C8261C" w:rsidR="00EA0CAE" w:rsidRDefault="00EA0CAE" w:rsidP="00D90483">
      <w:pPr>
        <w:jc w:val="both"/>
        <w:rPr>
          <w:rFonts w:eastAsia="宋体"/>
          <w:lang w:eastAsia="zh-CN"/>
        </w:rPr>
      </w:pPr>
    </w:p>
    <w:p w14:paraId="0301A764" w14:textId="71E3B9FB" w:rsidR="00EA0CAE" w:rsidRDefault="00EA0CAE" w:rsidP="00EA0CAE">
      <w:pPr>
        <w:ind w:left="1418" w:hangingChars="709" w:hanging="1418"/>
        <w:rPr>
          <w:rFonts w:eastAsia="等线"/>
          <w:b/>
          <w:i/>
          <w:lang w:val="en-US" w:eastAsia="zh-CN"/>
        </w:rPr>
      </w:pPr>
      <w:r w:rsidRPr="001A4AE9">
        <w:rPr>
          <w:rFonts w:eastAsia="等线"/>
          <w:b/>
          <w:i/>
          <w:lang w:val="en-US" w:eastAsia="zh-CN"/>
        </w:rPr>
        <w:lastRenderedPageBreak/>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R</w:t>
      </w:r>
      <w:r w:rsidRPr="00EA0CAE">
        <w:rPr>
          <w:rFonts w:eastAsia="等线"/>
          <w:b/>
          <w:i/>
          <w:lang w:val="en-US" w:eastAsia="zh-CN"/>
        </w:rPr>
        <w:t xml:space="preserve">eporting of </w:t>
      </w:r>
      <w:r w:rsidR="00375F0D">
        <w:rPr>
          <w:rFonts w:eastAsia="等线"/>
          <w:b/>
          <w:i/>
          <w:lang w:val="en-US" w:eastAsia="zh-CN"/>
        </w:rPr>
        <w:t xml:space="preserve">combined Band X </w:t>
      </w:r>
      <w:r w:rsidR="00375F0D">
        <w:rPr>
          <w:rFonts w:eastAsia="等线" w:hint="eastAsia"/>
          <w:b/>
          <w:i/>
          <w:lang w:val="en-US" w:eastAsia="zh-CN"/>
        </w:rPr>
        <w:t>+</w:t>
      </w:r>
      <w:r w:rsidR="00375F0D">
        <w:rPr>
          <w:rFonts w:eastAsia="等线"/>
          <w:b/>
          <w:i/>
          <w:lang w:val="en-US" w:eastAsia="zh-CN"/>
        </w:rPr>
        <w:t xml:space="preserve">Band Y duty cycle capability is a possible way for inter-band UL CA HPUE </w:t>
      </w:r>
      <w:r>
        <w:rPr>
          <w:rFonts w:eastAsia="等线"/>
          <w:b/>
          <w:i/>
          <w:lang w:val="en-US" w:eastAsia="zh-CN"/>
        </w:rPr>
        <w:t>SAR issues.</w:t>
      </w:r>
    </w:p>
    <w:p w14:paraId="7940ABDB" w14:textId="10CC618C" w:rsidR="00332B5D" w:rsidRDefault="00332B5D" w:rsidP="00D90483">
      <w:pPr>
        <w:jc w:val="both"/>
        <w:rPr>
          <w:rFonts w:eastAsia="宋体"/>
          <w:lang w:eastAsia="zh-CN"/>
        </w:rPr>
      </w:pPr>
    </w:p>
    <w:p w14:paraId="4C81492A" w14:textId="4BEA88B9" w:rsidR="00375F0D" w:rsidRDefault="00375F0D" w:rsidP="00375F0D">
      <w:pPr>
        <w:ind w:left="1418" w:hangingChars="709" w:hanging="1418"/>
        <w:rPr>
          <w:rFonts w:eastAsia="等线"/>
          <w:b/>
          <w:i/>
          <w:lang w:val="en-US" w:eastAsia="zh-CN"/>
        </w:rPr>
      </w:pPr>
      <w:r w:rsidRPr="00E649EA">
        <w:rPr>
          <w:rFonts w:eastAsia="等线" w:hint="eastAsia"/>
          <w:b/>
          <w:i/>
          <w:highlight w:val="lightGray"/>
          <w:lang w:val="en-US" w:eastAsia="zh-CN"/>
        </w:rPr>
        <w:t>Proposal 1:</w:t>
      </w:r>
      <w:r w:rsidRPr="003D5621">
        <w:rPr>
          <w:rFonts w:eastAsia="等线" w:hint="eastAsia"/>
          <w:b/>
          <w:i/>
          <w:lang w:val="en-US" w:eastAsia="zh-CN"/>
        </w:rPr>
        <w:t xml:space="preserve"> </w:t>
      </w:r>
      <w:r>
        <w:rPr>
          <w:rFonts w:eastAsia="等线"/>
          <w:b/>
          <w:i/>
          <w:lang w:val="en-US" w:eastAsia="zh-CN"/>
        </w:rPr>
        <w:t xml:space="preserve">       It is proposed to consider reporting a group of combined maxUplinkdutycycle capabilities for inter-band UL CA</w:t>
      </w:r>
      <w:r w:rsidR="000B21AD">
        <w:rPr>
          <w:rFonts w:eastAsia="等线"/>
          <w:b/>
          <w:i/>
          <w:lang w:val="en-US" w:eastAsia="zh-CN"/>
        </w:rPr>
        <w:t xml:space="preserve"> HPUE SAR issue</w:t>
      </w:r>
      <w:r>
        <w:rPr>
          <w:rFonts w:eastAsia="等线"/>
          <w:b/>
          <w:i/>
          <w:lang w:val="en-US" w:eastAsia="zh-CN"/>
        </w:rPr>
        <w:t>.</w:t>
      </w:r>
    </w:p>
    <w:p w14:paraId="66B8BB96" w14:textId="77777777" w:rsidR="000B21AD" w:rsidRDefault="000B21AD" w:rsidP="00375F0D">
      <w:pPr>
        <w:ind w:left="1418" w:hangingChars="709" w:hanging="1418"/>
        <w:rPr>
          <w:rFonts w:eastAsia="等线"/>
          <w:b/>
          <w:i/>
          <w:lang w:val="en-US" w:eastAsia="zh-CN"/>
        </w:rPr>
      </w:pPr>
    </w:p>
    <w:p w14:paraId="0BC6F30E" w14:textId="77777777" w:rsidR="00375F0D" w:rsidRPr="00375F0D" w:rsidRDefault="00375F0D" w:rsidP="00D90483">
      <w:pPr>
        <w:jc w:val="both"/>
        <w:rPr>
          <w:rFonts w:eastAsia="宋体"/>
          <w:lang w:val="en-US" w:eastAsia="zh-CN"/>
        </w:rPr>
      </w:pPr>
    </w:p>
    <w:p w14:paraId="64F00363" w14:textId="77777777" w:rsidR="00A2792D" w:rsidRDefault="00A2792D" w:rsidP="00A2792D">
      <w:pPr>
        <w:pStyle w:val="afd"/>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w:t>
      </w:r>
    </w:p>
    <w:p w14:paraId="66BEC827" w14:textId="77777777" w:rsidR="00220C1E" w:rsidRDefault="00220C1E" w:rsidP="002A0028">
      <w:pPr>
        <w:tabs>
          <w:tab w:val="left" w:pos="5103"/>
        </w:tabs>
        <w:spacing w:after="120"/>
        <w:rPr>
          <w:rFonts w:eastAsia="等线"/>
          <w:lang w:val="en-US" w:eastAsia="zh-CN"/>
        </w:rPr>
      </w:pPr>
    </w:p>
    <w:p w14:paraId="2A88B63B" w14:textId="77777777" w:rsidR="000B21AD" w:rsidRDefault="000B21AD" w:rsidP="000B21AD">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R</w:t>
      </w:r>
      <w:r w:rsidRPr="00EA0CAE">
        <w:rPr>
          <w:rFonts w:eastAsia="等线"/>
          <w:b/>
          <w:i/>
          <w:lang w:val="en-US" w:eastAsia="zh-CN"/>
        </w:rPr>
        <w:t xml:space="preserve">eporting of </w:t>
      </w:r>
      <w:r>
        <w:rPr>
          <w:rFonts w:eastAsia="等线"/>
          <w:b/>
          <w:i/>
          <w:lang w:val="en-US" w:eastAsia="zh-CN"/>
        </w:rPr>
        <w:t xml:space="preserve">combined Band X </w:t>
      </w:r>
      <w:r>
        <w:rPr>
          <w:rFonts w:eastAsia="等线" w:hint="eastAsia"/>
          <w:b/>
          <w:i/>
          <w:lang w:val="en-US" w:eastAsia="zh-CN"/>
        </w:rPr>
        <w:t>+</w:t>
      </w:r>
      <w:r>
        <w:rPr>
          <w:rFonts w:eastAsia="等线"/>
          <w:b/>
          <w:i/>
          <w:lang w:val="en-US" w:eastAsia="zh-CN"/>
        </w:rPr>
        <w:t>Band Y duty cycle capability is a possible way for inter-band UL CA HPUE SAR issues.</w:t>
      </w:r>
    </w:p>
    <w:p w14:paraId="59C3CDD9" w14:textId="77777777" w:rsidR="000B21AD" w:rsidRDefault="000B21AD" w:rsidP="000B21AD">
      <w:pPr>
        <w:jc w:val="both"/>
        <w:rPr>
          <w:rFonts w:eastAsia="宋体"/>
          <w:lang w:eastAsia="zh-CN"/>
        </w:rPr>
      </w:pPr>
    </w:p>
    <w:p w14:paraId="47BCE48F" w14:textId="77777777" w:rsidR="000B21AD" w:rsidRDefault="000B21AD" w:rsidP="000B21AD">
      <w:pPr>
        <w:ind w:left="1418" w:hangingChars="709" w:hanging="1418"/>
        <w:rPr>
          <w:rFonts w:eastAsia="等线"/>
          <w:b/>
          <w:i/>
          <w:lang w:val="en-US" w:eastAsia="zh-CN"/>
        </w:rPr>
      </w:pPr>
      <w:r w:rsidRPr="00E649EA">
        <w:rPr>
          <w:rFonts w:eastAsia="等线" w:hint="eastAsia"/>
          <w:b/>
          <w:i/>
          <w:highlight w:val="lightGray"/>
          <w:lang w:val="en-US" w:eastAsia="zh-CN"/>
        </w:rPr>
        <w:t>Proposal 1:</w:t>
      </w:r>
      <w:r w:rsidRPr="003D5621">
        <w:rPr>
          <w:rFonts w:eastAsia="等线" w:hint="eastAsia"/>
          <w:b/>
          <w:i/>
          <w:lang w:val="en-US" w:eastAsia="zh-CN"/>
        </w:rPr>
        <w:t xml:space="preserve"> </w:t>
      </w:r>
      <w:r>
        <w:rPr>
          <w:rFonts w:eastAsia="等线"/>
          <w:b/>
          <w:i/>
          <w:lang w:val="en-US" w:eastAsia="zh-CN"/>
        </w:rPr>
        <w:t xml:space="preserve">       It is proposed to consider reporting a group of combined maxUplinkdutycycle capabilities for inter-band UL CA HPUE SAR issue.</w:t>
      </w:r>
    </w:p>
    <w:p w14:paraId="6670EC5F" w14:textId="1528EB3B" w:rsidR="00381F74" w:rsidRPr="000B21AD" w:rsidRDefault="00381F74" w:rsidP="00A2792D">
      <w:pPr>
        <w:ind w:left="1418" w:hangingChars="709" w:hanging="1418"/>
        <w:jc w:val="both"/>
        <w:rPr>
          <w:rFonts w:eastAsia="等线"/>
          <w:b/>
          <w:i/>
          <w:lang w:val="en-US" w:eastAsia="zh-CN"/>
        </w:rPr>
      </w:pPr>
    </w:p>
    <w:p w14:paraId="5DD4ED6E" w14:textId="4CA57B3D" w:rsidR="00381F74" w:rsidRDefault="00381F74" w:rsidP="00A2792D">
      <w:pPr>
        <w:ind w:left="1418" w:hangingChars="709" w:hanging="1418"/>
        <w:jc w:val="both"/>
        <w:rPr>
          <w:rFonts w:eastAsia="等线"/>
          <w:b/>
          <w:i/>
          <w:lang w:val="en-US" w:eastAsia="zh-CN"/>
        </w:rPr>
      </w:pPr>
    </w:p>
    <w:p w14:paraId="0375AAAE" w14:textId="425B559F" w:rsidR="00381F74" w:rsidRPr="00C559ED" w:rsidRDefault="00381F74" w:rsidP="00C559ED">
      <w:pPr>
        <w:pStyle w:val="afd"/>
        <w:spacing w:before="100" w:beforeAutospacing="1" w:after="0" w:line="276" w:lineRule="auto"/>
        <w:jc w:val="left"/>
        <w:rPr>
          <w:rFonts w:ascii="Times New Roman" w:eastAsia="华文楷体" w:hAnsi="Times New Roman"/>
          <w:bCs w:val="0"/>
          <w:sz w:val="28"/>
          <w:szCs w:val="28"/>
        </w:rPr>
      </w:pPr>
      <w:r w:rsidRPr="00C559ED">
        <w:rPr>
          <w:rFonts w:ascii="Times New Roman" w:eastAsia="华文楷体" w:hAnsi="Times New Roman" w:hint="eastAsia"/>
          <w:bCs w:val="0"/>
          <w:sz w:val="28"/>
          <w:szCs w:val="28"/>
        </w:rPr>
        <w:t>Ref</w:t>
      </w:r>
      <w:r w:rsidRPr="00C559ED">
        <w:rPr>
          <w:rFonts w:ascii="Times New Roman" w:eastAsia="华文楷体" w:hAnsi="Times New Roman"/>
          <w:bCs w:val="0"/>
          <w:sz w:val="28"/>
          <w:szCs w:val="28"/>
        </w:rPr>
        <w:t>erence</w:t>
      </w:r>
    </w:p>
    <w:p w14:paraId="44F08B3B" w14:textId="77777777" w:rsidR="00381F74" w:rsidRDefault="00381F74" w:rsidP="00A2792D">
      <w:pPr>
        <w:ind w:left="1418" w:hangingChars="709" w:hanging="1418"/>
        <w:jc w:val="both"/>
        <w:rPr>
          <w:rFonts w:eastAsia="等线"/>
          <w:b/>
          <w:i/>
          <w:lang w:val="en-US" w:eastAsia="zh-CN"/>
        </w:rPr>
      </w:pPr>
    </w:p>
    <w:p w14:paraId="6BAF3B83" w14:textId="38B04CA8" w:rsidR="00381F74" w:rsidRDefault="0021063E" w:rsidP="00A2792D">
      <w:pPr>
        <w:ind w:left="1418" w:hangingChars="709" w:hanging="1418"/>
        <w:jc w:val="both"/>
        <w:rPr>
          <w:rFonts w:eastAsia="等线"/>
          <w:lang w:val="en-US" w:eastAsia="zh-CN"/>
        </w:rPr>
      </w:pPr>
      <w:r>
        <w:rPr>
          <w:rFonts w:eastAsia="等线"/>
          <w:lang w:val="en-US" w:eastAsia="zh-CN"/>
        </w:rPr>
        <w:t xml:space="preserve">[1] </w:t>
      </w:r>
      <w:r w:rsidRPr="0021063E">
        <w:rPr>
          <w:rFonts w:eastAsia="等线"/>
          <w:lang w:val="en-US" w:eastAsia="zh-CN"/>
        </w:rPr>
        <w:t>R4-2016851</w:t>
      </w:r>
      <w:r w:rsidR="00381F74">
        <w:rPr>
          <w:rFonts w:eastAsia="等线"/>
          <w:lang w:val="en-US" w:eastAsia="zh-CN"/>
        </w:rPr>
        <w:t xml:space="preserve">, </w:t>
      </w:r>
      <w:r w:rsidR="00381F74" w:rsidRPr="00381F74">
        <w:rPr>
          <w:rFonts w:eastAsia="等线"/>
          <w:lang w:val="en-US" w:eastAsia="zh-CN"/>
        </w:rPr>
        <w:t>WF on UE PC2 for NR inter-band CA and SUL configurations</w:t>
      </w:r>
      <w:r w:rsidR="00381F74">
        <w:rPr>
          <w:rFonts w:eastAsia="等线"/>
          <w:lang w:val="en-US" w:eastAsia="zh-CN"/>
        </w:rPr>
        <w:t xml:space="preserve">, </w:t>
      </w:r>
      <w:r w:rsidR="00381F74" w:rsidRPr="00381F74">
        <w:rPr>
          <w:rFonts w:eastAsia="等线"/>
          <w:lang w:val="en-US" w:eastAsia="zh-CN"/>
        </w:rPr>
        <w:t>China Telecom</w:t>
      </w:r>
    </w:p>
    <w:p w14:paraId="094D14CC" w14:textId="76CBF341" w:rsidR="00C559ED" w:rsidRPr="00381F74" w:rsidRDefault="00C559ED" w:rsidP="00A2792D">
      <w:pPr>
        <w:ind w:left="1418" w:hangingChars="709" w:hanging="1418"/>
        <w:jc w:val="both"/>
        <w:rPr>
          <w:rFonts w:eastAsia="等线"/>
          <w:lang w:val="en-US" w:eastAsia="zh-CN"/>
        </w:rPr>
      </w:pPr>
      <w:r>
        <w:rPr>
          <w:rFonts w:eastAsia="等线"/>
          <w:lang w:val="en-US" w:eastAsia="zh-CN"/>
        </w:rPr>
        <w:t xml:space="preserve">[2] </w:t>
      </w:r>
      <w:r w:rsidR="00DD6AE0" w:rsidRPr="00DD6AE0">
        <w:rPr>
          <w:rFonts w:eastAsia="等线"/>
          <w:lang w:val="en-US" w:eastAsia="zh-CN"/>
        </w:rPr>
        <w:t>R4-2009796</w:t>
      </w:r>
      <w:r>
        <w:rPr>
          <w:rFonts w:eastAsia="等线"/>
          <w:lang w:val="en-US" w:eastAsia="zh-CN"/>
        </w:rPr>
        <w:t xml:space="preserve">, </w:t>
      </w:r>
      <w:r w:rsidR="00DD6AE0" w:rsidRPr="00DD6AE0">
        <w:rPr>
          <w:rFonts w:eastAsia="等线"/>
          <w:lang w:val="en-US" w:eastAsia="zh-CN"/>
        </w:rPr>
        <w:t>Discussion on SAR solution for interband PC2 2UL CA</w:t>
      </w:r>
      <w:r>
        <w:rPr>
          <w:rFonts w:eastAsia="等线"/>
          <w:lang w:val="en-US" w:eastAsia="zh-CN"/>
        </w:rPr>
        <w:t xml:space="preserve">, </w:t>
      </w:r>
      <w:r w:rsidR="00DD6AE0">
        <w:rPr>
          <w:rFonts w:eastAsia="等线"/>
          <w:lang w:val="en-US" w:eastAsia="zh-CN"/>
        </w:rPr>
        <w:t>CATT</w:t>
      </w:r>
    </w:p>
    <w:sectPr w:rsidR="00C559ED" w:rsidRPr="00381F74"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23B63E" w14:textId="77777777" w:rsidR="00D40579" w:rsidRDefault="00D40579">
      <w:r>
        <w:separator/>
      </w:r>
    </w:p>
  </w:endnote>
  <w:endnote w:type="continuationSeparator" w:id="0">
    <w:p w14:paraId="64254FA1" w14:textId="77777777" w:rsidR="00D40579" w:rsidRDefault="00D40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24FB0C" w14:textId="77777777" w:rsidR="00D40579" w:rsidRDefault="00D40579">
      <w:r>
        <w:separator/>
      </w:r>
    </w:p>
  </w:footnote>
  <w:footnote w:type="continuationSeparator" w:id="0">
    <w:p w14:paraId="45521A81" w14:textId="77777777" w:rsidR="00D40579" w:rsidRDefault="00D405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71531"/>
    <w:multiLevelType w:val="hybridMultilevel"/>
    <w:tmpl w:val="9A8A17AC"/>
    <w:lvl w:ilvl="0" w:tplc="4202C932">
      <w:start w:val="1"/>
      <w:numFmt w:val="bullet"/>
      <w:lvlText w:val=""/>
      <w:lvlJc w:val="left"/>
      <w:pPr>
        <w:ind w:left="420" w:hanging="420"/>
      </w:pPr>
      <w:rPr>
        <w:rFonts w:ascii="Symbol" w:eastAsia="MS Mincho" w:hAnsi="Symbol" w:cs="Times New Roman"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192A1D"/>
    <w:multiLevelType w:val="hybridMultilevel"/>
    <w:tmpl w:val="8E98C56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CC6AE4"/>
    <w:multiLevelType w:val="hybridMultilevel"/>
    <w:tmpl w:val="1EC6FBD2"/>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Wingdings" w:hAnsi="Wingdings" w:hint="default"/>
      </w:rPr>
    </w:lvl>
    <w:lvl w:ilvl="2" w:tplc="0409001B">
      <w:start w:val="1"/>
      <w:numFmt w:val="lowerRoman"/>
      <w:lvlText w:val="%3."/>
      <w:lvlJc w:val="right"/>
      <w:pPr>
        <w:ind w:left="1800" w:hanging="180"/>
      </w:pPr>
      <w:rPr>
        <w:rFonts w:hint="default"/>
      </w:rPr>
    </w:lvl>
    <w:lvl w:ilvl="3" w:tplc="9A1468D4">
      <w:start w:val="1"/>
      <w:numFmt w:val="bullet"/>
      <w:lvlText w:val="−"/>
      <w:lvlJc w:val="left"/>
      <w:pPr>
        <w:ind w:left="2520" w:hanging="360"/>
      </w:pPr>
      <w:rPr>
        <w:rFonts w:ascii="Calibri" w:hAnsi="Calibri" w:hint="default"/>
      </w:rPr>
    </w:lvl>
    <w:lvl w:ilvl="4" w:tplc="4BCE8DF0">
      <w:start w:val="1"/>
      <w:numFmt w:val="decimal"/>
      <w:lvlText w:val="%5."/>
      <w:lvlJc w:val="left"/>
      <w:pPr>
        <w:ind w:left="3240" w:hanging="360"/>
      </w:pPr>
      <w:rPr>
        <w:rFonts w:hint="default"/>
      </w:r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 w15:restartNumberingAfterBreak="0">
    <w:nsid w:val="122003F7"/>
    <w:multiLevelType w:val="hybridMultilevel"/>
    <w:tmpl w:val="663EBF0E"/>
    <w:lvl w:ilvl="0" w:tplc="0EE4B47C">
      <w:start w:val="3"/>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225EF6"/>
    <w:multiLevelType w:val="hybridMultilevel"/>
    <w:tmpl w:val="BD1A2A5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34D7026"/>
    <w:multiLevelType w:val="hybridMultilevel"/>
    <w:tmpl w:val="41EC5054"/>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54CA7"/>
    <w:multiLevelType w:val="hybridMultilevel"/>
    <w:tmpl w:val="E53CCF7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E02386"/>
    <w:multiLevelType w:val="multilevel"/>
    <w:tmpl w:val="D58009F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862"/>
        </w:tabs>
        <w:ind w:left="862"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5FB631B"/>
    <w:multiLevelType w:val="hybridMultilevel"/>
    <w:tmpl w:val="9FD09582"/>
    <w:lvl w:ilvl="0" w:tplc="FFFFFFFF">
      <w:start w:val="1"/>
      <w:numFmt w:val="bullet"/>
      <w:lvlText w:val=""/>
      <w:lvlJc w:val="left"/>
      <w:pPr>
        <w:ind w:left="420" w:hanging="420"/>
      </w:pPr>
      <w:rPr>
        <w:rFonts w:ascii="Symbol" w:hAnsi="Symbol"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4" w15:restartNumberingAfterBreak="0">
    <w:nsid w:val="604D4153"/>
    <w:multiLevelType w:val="hybridMultilevel"/>
    <w:tmpl w:val="9592711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CF01CD"/>
    <w:multiLevelType w:val="hybridMultilevel"/>
    <w:tmpl w:val="925683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6B5E08"/>
    <w:multiLevelType w:val="hybridMultilevel"/>
    <w:tmpl w:val="4AD0A0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18"/>
  </w:num>
  <w:num w:numId="4">
    <w:abstractNumId w:val="10"/>
  </w:num>
  <w:num w:numId="5">
    <w:abstractNumId w:val="13"/>
  </w:num>
  <w:num w:numId="6">
    <w:abstractNumId w:val="8"/>
  </w:num>
  <w:num w:numId="7">
    <w:abstractNumId w:val="16"/>
  </w:num>
  <w:num w:numId="8">
    <w:abstractNumId w:val="6"/>
  </w:num>
  <w:num w:numId="9">
    <w:abstractNumId w:val="2"/>
  </w:num>
  <w:num w:numId="10">
    <w:abstractNumId w:val="15"/>
  </w:num>
  <w:num w:numId="11">
    <w:abstractNumId w:val="17"/>
  </w:num>
  <w:num w:numId="12">
    <w:abstractNumId w:val="5"/>
  </w:num>
  <w:num w:numId="13">
    <w:abstractNumId w:val="0"/>
  </w:num>
  <w:num w:numId="14">
    <w:abstractNumId w:val="14"/>
  </w:num>
  <w:num w:numId="15">
    <w:abstractNumId w:val="4"/>
  </w:num>
  <w:num w:numId="16">
    <w:abstractNumId w:val="1"/>
  </w:num>
  <w:num w:numId="17">
    <w:abstractNumId w:val="7"/>
  </w:num>
  <w:num w:numId="18">
    <w:abstractNumId w:val="3"/>
  </w:num>
  <w:num w:numId="19">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33C"/>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B9B"/>
    <w:rsid w:val="00023ED6"/>
    <w:rsid w:val="0002422D"/>
    <w:rsid w:val="000245B1"/>
    <w:rsid w:val="000248DA"/>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54B9"/>
    <w:rsid w:val="0003552C"/>
    <w:rsid w:val="00035593"/>
    <w:rsid w:val="00035742"/>
    <w:rsid w:val="00035FFD"/>
    <w:rsid w:val="00037BA8"/>
    <w:rsid w:val="00040120"/>
    <w:rsid w:val="000417AC"/>
    <w:rsid w:val="000421D2"/>
    <w:rsid w:val="00042309"/>
    <w:rsid w:val="0004248D"/>
    <w:rsid w:val="0004273A"/>
    <w:rsid w:val="000428B2"/>
    <w:rsid w:val="00042CB1"/>
    <w:rsid w:val="00042F23"/>
    <w:rsid w:val="000438E9"/>
    <w:rsid w:val="000443E9"/>
    <w:rsid w:val="000444ED"/>
    <w:rsid w:val="00044C71"/>
    <w:rsid w:val="00044D9B"/>
    <w:rsid w:val="000455A8"/>
    <w:rsid w:val="000455DF"/>
    <w:rsid w:val="00045647"/>
    <w:rsid w:val="000459BB"/>
    <w:rsid w:val="00045B94"/>
    <w:rsid w:val="00045FD9"/>
    <w:rsid w:val="00046D81"/>
    <w:rsid w:val="00050264"/>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311F"/>
    <w:rsid w:val="000652C7"/>
    <w:rsid w:val="0006548A"/>
    <w:rsid w:val="00065751"/>
    <w:rsid w:val="00065FAE"/>
    <w:rsid w:val="00066257"/>
    <w:rsid w:val="0006703B"/>
    <w:rsid w:val="000671B5"/>
    <w:rsid w:val="000672A5"/>
    <w:rsid w:val="00067522"/>
    <w:rsid w:val="00067B1B"/>
    <w:rsid w:val="00070ABB"/>
    <w:rsid w:val="00071239"/>
    <w:rsid w:val="00071D2F"/>
    <w:rsid w:val="00071D46"/>
    <w:rsid w:val="000739AB"/>
    <w:rsid w:val="00074DCC"/>
    <w:rsid w:val="0007504C"/>
    <w:rsid w:val="00075BBE"/>
    <w:rsid w:val="00075D52"/>
    <w:rsid w:val="00077B57"/>
    <w:rsid w:val="00077B94"/>
    <w:rsid w:val="0008044D"/>
    <w:rsid w:val="000810A2"/>
    <w:rsid w:val="00081269"/>
    <w:rsid w:val="000813EE"/>
    <w:rsid w:val="00081A2F"/>
    <w:rsid w:val="00082F8E"/>
    <w:rsid w:val="000838A6"/>
    <w:rsid w:val="00083A73"/>
    <w:rsid w:val="00084345"/>
    <w:rsid w:val="0008446A"/>
    <w:rsid w:val="000845F6"/>
    <w:rsid w:val="000846FF"/>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1AD"/>
    <w:rsid w:val="000B2581"/>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13AF"/>
    <w:rsid w:val="000C1F50"/>
    <w:rsid w:val="000C307E"/>
    <w:rsid w:val="000C3A65"/>
    <w:rsid w:val="000C420A"/>
    <w:rsid w:val="000C4E58"/>
    <w:rsid w:val="000C5007"/>
    <w:rsid w:val="000C5CAB"/>
    <w:rsid w:val="000C64BD"/>
    <w:rsid w:val="000C6BDE"/>
    <w:rsid w:val="000C726F"/>
    <w:rsid w:val="000D0271"/>
    <w:rsid w:val="000D11EB"/>
    <w:rsid w:val="000D1944"/>
    <w:rsid w:val="000D23E9"/>
    <w:rsid w:val="000D286E"/>
    <w:rsid w:val="000D2BC1"/>
    <w:rsid w:val="000D2F40"/>
    <w:rsid w:val="000D3B28"/>
    <w:rsid w:val="000D49AE"/>
    <w:rsid w:val="000D4D7C"/>
    <w:rsid w:val="000D5993"/>
    <w:rsid w:val="000D691B"/>
    <w:rsid w:val="000D6AEF"/>
    <w:rsid w:val="000D709C"/>
    <w:rsid w:val="000D713B"/>
    <w:rsid w:val="000D7390"/>
    <w:rsid w:val="000D74E0"/>
    <w:rsid w:val="000D7E2C"/>
    <w:rsid w:val="000E11A4"/>
    <w:rsid w:val="000E20DE"/>
    <w:rsid w:val="000E226B"/>
    <w:rsid w:val="000E23D8"/>
    <w:rsid w:val="000E2477"/>
    <w:rsid w:val="000E29D0"/>
    <w:rsid w:val="000E419E"/>
    <w:rsid w:val="000E460D"/>
    <w:rsid w:val="000E4E4B"/>
    <w:rsid w:val="000E5827"/>
    <w:rsid w:val="000E5D87"/>
    <w:rsid w:val="000E650E"/>
    <w:rsid w:val="000E79DE"/>
    <w:rsid w:val="000E7C52"/>
    <w:rsid w:val="000F06FC"/>
    <w:rsid w:val="000F1DBC"/>
    <w:rsid w:val="000F2D12"/>
    <w:rsid w:val="000F2F80"/>
    <w:rsid w:val="000F41D4"/>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EDD"/>
    <w:rsid w:val="0011311D"/>
    <w:rsid w:val="00113182"/>
    <w:rsid w:val="00113C50"/>
    <w:rsid w:val="00113F6D"/>
    <w:rsid w:val="0011403C"/>
    <w:rsid w:val="001151BF"/>
    <w:rsid w:val="00115230"/>
    <w:rsid w:val="0011656C"/>
    <w:rsid w:val="00116CD0"/>
    <w:rsid w:val="00117174"/>
    <w:rsid w:val="001174BC"/>
    <w:rsid w:val="0012019F"/>
    <w:rsid w:val="00121324"/>
    <w:rsid w:val="001214C1"/>
    <w:rsid w:val="00122C66"/>
    <w:rsid w:val="00122CA3"/>
    <w:rsid w:val="00122CB6"/>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396"/>
    <w:rsid w:val="00130E73"/>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3705"/>
    <w:rsid w:val="00143897"/>
    <w:rsid w:val="001448FA"/>
    <w:rsid w:val="001452D1"/>
    <w:rsid w:val="00145508"/>
    <w:rsid w:val="00145F74"/>
    <w:rsid w:val="00147AF7"/>
    <w:rsid w:val="00147F9F"/>
    <w:rsid w:val="0015008D"/>
    <w:rsid w:val="001523A2"/>
    <w:rsid w:val="00152563"/>
    <w:rsid w:val="00154931"/>
    <w:rsid w:val="00155414"/>
    <w:rsid w:val="00155491"/>
    <w:rsid w:val="00156374"/>
    <w:rsid w:val="001565CF"/>
    <w:rsid w:val="001566FB"/>
    <w:rsid w:val="001567C7"/>
    <w:rsid w:val="001576CD"/>
    <w:rsid w:val="001578CC"/>
    <w:rsid w:val="00157E30"/>
    <w:rsid w:val="00160BB0"/>
    <w:rsid w:val="001610B4"/>
    <w:rsid w:val="00161CD4"/>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EDF"/>
    <w:rsid w:val="001752CB"/>
    <w:rsid w:val="00175EC4"/>
    <w:rsid w:val="00175FC5"/>
    <w:rsid w:val="00176B42"/>
    <w:rsid w:val="001774BA"/>
    <w:rsid w:val="00177BCE"/>
    <w:rsid w:val="00180798"/>
    <w:rsid w:val="0018174A"/>
    <w:rsid w:val="001823FE"/>
    <w:rsid w:val="00182ECF"/>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108E"/>
    <w:rsid w:val="00192506"/>
    <w:rsid w:val="00192F6A"/>
    <w:rsid w:val="0019355E"/>
    <w:rsid w:val="001935E7"/>
    <w:rsid w:val="00193C69"/>
    <w:rsid w:val="001940AC"/>
    <w:rsid w:val="001942ED"/>
    <w:rsid w:val="00194F8E"/>
    <w:rsid w:val="001950C2"/>
    <w:rsid w:val="001958F1"/>
    <w:rsid w:val="00195D8C"/>
    <w:rsid w:val="001960DF"/>
    <w:rsid w:val="001963CF"/>
    <w:rsid w:val="00196E2B"/>
    <w:rsid w:val="00196E93"/>
    <w:rsid w:val="00197FAF"/>
    <w:rsid w:val="001A17BD"/>
    <w:rsid w:val="001A301A"/>
    <w:rsid w:val="001A357D"/>
    <w:rsid w:val="001A3740"/>
    <w:rsid w:val="001A3AC1"/>
    <w:rsid w:val="001A4AE9"/>
    <w:rsid w:val="001A5586"/>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06A4"/>
    <w:rsid w:val="001C1D88"/>
    <w:rsid w:val="001C34D1"/>
    <w:rsid w:val="001C39BD"/>
    <w:rsid w:val="001C3E2F"/>
    <w:rsid w:val="001C3F95"/>
    <w:rsid w:val="001C4394"/>
    <w:rsid w:val="001C59CF"/>
    <w:rsid w:val="001C7E47"/>
    <w:rsid w:val="001D03BF"/>
    <w:rsid w:val="001D04FF"/>
    <w:rsid w:val="001D1B80"/>
    <w:rsid w:val="001D1BA7"/>
    <w:rsid w:val="001D1F79"/>
    <w:rsid w:val="001D254D"/>
    <w:rsid w:val="001D29F5"/>
    <w:rsid w:val="001D2D48"/>
    <w:rsid w:val="001D321B"/>
    <w:rsid w:val="001D433C"/>
    <w:rsid w:val="001D4697"/>
    <w:rsid w:val="001D48B9"/>
    <w:rsid w:val="001D4AD2"/>
    <w:rsid w:val="001D501D"/>
    <w:rsid w:val="001D58C6"/>
    <w:rsid w:val="001D6152"/>
    <w:rsid w:val="001D6B94"/>
    <w:rsid w:val="001D7505"/>
    <w:rsid w:val="001D7554"/>
    <w:rsid w:val="001D798D"/>
    <w:rsid w:val="001E10D6"/>
    <w:rsid w:val="001E146B"/>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23B3"/>
    <w:rsid w:val="001F2737"/>
    <w:rsid w:val="001F3884"/>
    <w:rsid w:val="001F38E1"/>
    <w:rsid w:val="001F4892"/>
    <w:rsid w:val="001F5220"/>
    <w:rsid w:val="001F6FFF"/>
    <w:rsid w:val="00200C40"/>
    <w:rsid w:val="00200CF3"/>
    <w:rsid w:val="00201FB4"/>
    <w:rsid w:val="00202110"/>
    <w:rsid w:val="00202E01"/>
    <w:rsid w:val="0020320A"/>
    <w:rsid w:val="00203BF6"/>
    <w:rsid w:val="002040BD"/>
    <w:rsid w:val="002042CB"/>
    <w:rsid w:val="0020469D"/>
    <w:rsid w:val="00205E44"/>
    <w:rsid w:val="00205FFF"/>
    <w:rsid w:val="00206E81"/>
    <w:rsid w:val="00207D3E"/>
    <w:rsid w:val="0021063E"/>
    <w:rsid w:val="002108D5"/>
    <w:rsid w:val="002109AE"/>
    <w:rsid w:val="0021189D"/>
    <w:rsid w:val="0021275D"/>
    <w:rsid w:val="00212D26"/>
    <w:rsid w:val="002131F0"/>
    <w:rsid w:val="00213239"/>
    <w:rsid w:val="002141DC"/>
    <w:rsid w:val="0021439B"/>
    <w:rsid w:val="002147C7"/>
    <w:rsid w:val="00214C3A"/>
    <w:rsid w:val="00214EF3"/>
    <w:rsid w:val="00215211"/>
    <w:rsid w:val="00215AF4"/>
    <w:rsid w:val="00215F9C"/>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761"/>
    <w:rsid w:val="002308FA"/>
    <w:rsid w:val="00232EA7"/>
    <w:rsid w:val="0023308F"/>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401C1"/>
    <w:rsid w:val="00240304"/>
    <w:rsid w:val="002409B8"/>
    <w:rsid w:val="0024241B"/>
    <w:rsid w:val="00242BBA"/>
    <w:rsid w:val="00242D61"/>
    <w:rsid w:val="002442D5"/>
    <w:rsid w:val="00244401"/>
    <w:rsid w:val="002448E3"/>
    <w:rsid w:val="00245B7D"/>
    <w:rsid w:val="00245BC6"/>
    <w:rsid w:val="00246918"/>
    <w:rsid w:val="00246998"/>
    <w:rsid w:val="00246BE5"/>
    <w:rsid w:val="00246C07"/>
    <w:rsid w:val="00247B93"/>
    <w:rsid w:val="00247DBD"/>
    <w:rsid w:val="00247F0D"/>
    <w:rsid w:val="00250222"/>
    <w:rsid w:val="00251539"/>
    <w:rsid w:val="00252AA7"/>
    <w:rsid w:val="00252EDF"/>
    <w:rsid w:val="00253582"/>
    <w:rsid w:val="002536A3"/>
    <w:rsid w:val="002539F7"/>
    <w:rsid w:val="00254052"/>
    <w:rsid w:val="00254723"/>
    <w:rsid w:val="00254C3E"/>
    <w:rsid w:val="00255308"/>
    <w:rsid w:val="00255DE8"/>
    <w:rsid w:val="00256138"/>
    <w:rsid w:val="00256327"/>
    <w:rsid w:val="00256D0A"/>
    <w:rsid w:val="00257065"/>
    <w:rsid w:val="0025707D"/>
    <w:rsid w:val="0025759D"/>
    <w:rsid w:val="002577B4"/>
    <w:rsid w:val="00257ED2"/>
    <w:rsid w:val="00257F3B"/>
    <w:rsid w:val="0026089E"/>
    <w:rsid w:val="00260E5F"/>
    <w:rsid w:val="00260FAD"/>
    <w:rsid w:val="00262677"/>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80F86"/>
    <w:rsid w:val="00281DE1"/>
    <w:rsid w:val="00281E47"/>
    <w:rsid w:val="002821B7"/>
    <w:rsid w:val="002837EF"/>
    <w:rsid w:val="00285BB8"/>
    <w:rsid w:val="00286342"/>
    <w:rsid w:val="0028688D"/>
    <w:rsid w:val="00287258"/>
    <w:rsid w:val="002875A3"/>
    <w:rsid w:val="00287821"/>
    <w:rsid w:val="00290D3F"/>
    <w:rsid w:val="002911E0"/>
    <w:rsid w:val="0029153A"/>
    <w:rsid w:val="00292339"/>
    <w:rsid w:val="00292749"/>
    <w:rsid w:val="00292A36"/>
    <w:rsid w:val="00293385"/>
    <w:rsid w:val="002942A8"/>
    <w:rsid w:val="0029440D"/>
    <w:rsid w:val="0029474E"/>
    <w:rsid w:val="00294ACC"/>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DE6"/>
    <w:rsid w:val="002B6664"/>
    <w:rsid w:val="002B6B5E"/>
    <w:rsid w:val="002B7465"/>
    <w:rsid w:val="002B7DA4"/>
    <w:rsid w:val="002C0CF3"/>
    <w:rsid w:val="002C1401"/>
    <w:rsid w:val="002C151F"/>
    <w:rsid w:val="002C1810"/>
    <w:rsid w:val="002C233C"/>
    <w:rsid w:val="002C2E65"/>
    <w:rsid w:val="002C303F"/>
    <w:rsid w:val="002C6F4F"/>
    <w:rsid w:val="002C7077"/>
    <w:rsid w:val="002C736D"/>
    <w:rsid w:val="002C74DD"/>
    <w:rsid w:val="002C7743"/>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772"/>
    <w:rsid w:val="002E58E9"/>
    <w:rsid w:val="002E5F33"/>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ABB"/>
    <w:rsid w:val="002F78C6"/>
    <w:rsid w:val="002F7EC7"/>
    <w:rsid w:val="003004AC"/>
    <w:rsid w:val="003019D7"/>
    <w:rsid w:val="00301E2E"/>
    <w:rsid w:val="00301F73"/>
    <w:rsid w:val="00302023"/>
    <w:rsid w:val="003026C0"/>
    <w:rsid w:val="00302AD7"/>
    <w:rsid w:val="00302D85"/>
    <w:rsid w:val="00303400"/>
    <w:rsid w:val="0030378C"/>
    <w:rsid w:val="00303CF4"/>
    <w:rsid w:val="00306408"/>
    <w:rsid w:val="0030683D"/>
    <w:rsid w:val="00306900"/>
    <w:rsid w:val="00306BDB"/>
    <w:rsid w:val="00306CD1"/>
    <w:rsid w:val="00306F6B"/>
    <w:rsid w:val="003074A2"/>
    <w:rsid w:val="00307916"/>
    <w:rsid w:val="00307ECE"/>
    <w:rsid w:val="00310471"/>
    <w:rsid w:val="00310CC4"/>
    <w:rsid w:val="003125BD"/>
    <w:rsid w:val="00312D0C"/>
    <w:rsid w:val="00312E0D"/>
    <w:rsid w:val="00313F78"/>
    <w:rsid w:val="00314657"/>
    <w:rsid w:val="00314EDE"/>
    <w:rsid w:val="0031517D"/>
    <w:rsid w:val="003166E0"/>
    <w:rsid w:val="003174F1"/>
    <w:rsid w:val="00317D72"/>
    <w:rsid w:val="00317F0B"/>
    <w:rsid w:val="00320346"/>
    <w:rsid w:val="0032188F"/>
    <w:rsid w:val="0032246C"/>
    <w:rsid w:val="00322A84"/>
    <w:rsid w:val="00322B69"/>
    <w:rsid w:val="003242F1"/>
    <w:rsid w:val="00324B87"/>
    <w:rsid w:val="00324B98"/>
    <w:rsid w:val="00325386"/>
    <w:rsid w:val="00325427"/>
    <w:rsid w:val="0032652A"/>
    <w:rsid w:val="00326824"/>
    <w:rsid w:val="00326A41"/>
    <w:rsid w:val="003306AD"/>
    <w:rsid w:val="00330B3C"/>
    <w:rsid w:val="00330E67"/>
    <w:rsid w:val="00330EB0"/>
    <w:rsid w:val="00331348"/>
    <w:rsid w:val="003314BB"/>
    <w:rsid w:val="00332B5D"/>
    <w:rsid w:val="003332F4"/>
    <w:rsid w:val="0033339C"/>
    <w:rsid w:val="003335A2"/>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51F6C"/>
    <w:rsid w:val="003529A4"/>
    <w:rsid w:val="00353213"/>
    <w:rsid w:val="00354127"/>
    <w:rsid w:val="0035516A"/>
    <w:rsid w:val="003557E8"/>
    <w:rsid w:val="00355F41"/>
    <w:rsid w:val="003562E9"/>
    <w:rsid w:val="00356A40"/>
    <w:rsid w:val="003602D0"/>
    <w:rsid w:val="00360E12"/>
    <w:rsid w:val="003612A4"/>
    <w:rsid w:val="00361F35"/>
    <w:rsid w:val="003629AA"/>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5F0D"/>
    <w:rsid w:val="00376133"/>
    <w:rsid w:val="00376857"/>
    <w:rsid w:val="00376C8F"/>
    <w:rsid w:val="003771C7"/>
    <w:rsid w:val="00377789"/>
    <w:rsid w:val="00377E84"/>
    <w:rsid w:val="00380285"/>
    <w:rsid w:val="00381DC5"/>
    <w:rsid w:val="00381F74"/>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C2A"/>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64A"/>
    <w:rsid w:val="003B47FE"/>
    <w:rsid w:val="003B592A"/>
    <w:rsid w:val="003B5E67"/>
    <w:rsid w:val="003B5E8F"/>
    <w:rsid w:val="003B63F9"/>
    <w:rsid w:val="003B6669"/>
    <w:rsid w:val="003B76F2"/>
    <w:rsid w:val="003B791E"/>
    <w:rsid w:val="003B7FB5"/>
    <w:rsid w:val="003C02C1"/>
    <w:rsid w:val="003C07E6"/>
    <w:rsid w:val="003C0B51"/>
    <w:rsid w:val="003C16C4"/>
    <w:rsid w:val="003C21E0"/>
    <w:rsid w:val="003C222B"/>
    <w:rsid w:val="003C2E93"/>
    <w:rsid w:val="003C2FE4"/>
    <w:rsid w:val="003C3567"/>
    <w:rsid w:val="003C382C"/>
    <w:rsid w:val="003C3A3A"/>
    <w:rsid w:val="003C3BB3"/>
    <w:rsid w:val="003C3C56"/>
    <w:rsid w:val="003C4307"/>
    <w:rsid w:val="003C448F"/>
    <w:rsid w:val="003C4713"/>
    <w:rsid w:val="003C4761"/>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D796F"/>
    <w:rsid w:val="003E07A9"/>
    <w:rsid w:val="003E10B4"/>
    <w:rsid w:val="003E1427"/>
    <w:rsid w:val="003E23F2"/>
    <w:rsid w:val="003E27E0"/>
    <w:rsid w:val="003E37A3"/>
    <w:rsid w:val="003E3D38"/>
    <w:rsid w:val="003E3EBA"/>
    <w:rsid w:val="003E4182"/>
    <w:rsid w:val="003E4C9E"/>
    <w:rsid w:val="003E5DDA"/>
    <w:rsid w:val="003E6437"/>
    <w:rsid w:val="003E6A48"/>
    <w:rsid w:val="003E6CFE"/>
    <w:rsid w:val="003E6D1F"/>
    <w:rsid w:val="003E74B0"/>
    <w:rsid w:val="003F03DC"/>
    <w:rsid w:val="003F054F"/>
    <w:rsid w:val="003F1923"/>
    <w:rsid w:val="003F27FF"/>
    <w:rsid w:val="003F29BB"/>
    <w:rsid w:val="003F29DA"/>
    <w:rsid w:val="003F380D"/>
    <w:rsid w:val="003F437D"/>
    <w:rsid w:val="003F4424"/>
    <w:rsid w:val="003F50D7"/>
    <w:rsid w:val="003F50F8"/>
    <w:rsid w:val="003F52ED"/>
    <w:rsid w:val="003F5E01"/>
    <w:rsid w:val="003F73A4"/>
    <w:rsid w:val="003F78ED"/>
    <w:rsid w:val="003F78F1"/>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44EA"/>
    <w:rsid w:val="00444FF5"/>
    <w:rsid w:val="004450D7"/>
    <w:rsid w:val="0044511E"/>
    <w:rsid w:val="004456F7"/>
    <w:rsid w:val="00445755"/>
    <w:rsid w:val="00445F48"/>
    <w:rsid w:val="0044632F"/>
    <w:rsid w:val="00446D9D"/>
    <w:rsid w:val="00447AB4"/>
    <w:rsid w:val="004502B7"/>
    <w:rsid w:val="00451052"/>
    <w:rsid w:val="004514A1"/>
    <w:rsid w:val="00451886"/>
    <w:rsid w:val="00453D27"/>
    <w:rsid w:val="0045441F"/>
    <w:rsid w:val="00454CE8"/>
    <w:rsid w:val="00455EC9"/>
    <w:rsid w:val="00456690"/>
    <w:rsid w:val="00456AA3"/>
    <w:rsid w:val="0045700D"/>
    <w:rsid w:val="00457565"/>
    <w:rsid w:val="004575B6"/>
    <w:rsid w:val="00461A1D"/>
    <w:rsid w:val="00461B05"/>
    <w:rsid w:val="00461CC2"/>
    <w:rsid w:val="00462FC8"/>
    <w:rsid w:val="00463080"/>
    <w:rsid w:val="004634ED"/>
    <w:rsid w:val="00463DCA"/>
    <w:rsid w:val="00465D14"/>
    <w:rsid w:val="00466420"/>
    <w:rsid w:val="00466FFE"/>
    <w:rsid w:val="00467030"/>
    <w:rsid w:val="00470A92"/>
    <w:rsid w:val="00470D11"/>
    <w:rsid w:val="00470FA4"/>
    <w:rsid w:val="00471F41"/>
    <w:rsid w:val="0047243A"/>
    <w:rsid w:val="00472A37"/>
    <w:rsid w:val="00472DFA"/>
    <w:rsid w:val="00472EFC"/>
    <w:rsid w:val="00473699"/>
    <w:rsid w:val="00473758"/>
    <w:rsid w:val="00474864"/>
    <w:rsid w:val="00474FDF"/>
    <w:rsid w:val="004750E5"/>
    <w:rsid w:val="00475EC9"/>
    <w:rsid w:val="00476644"/>
    <w:rsid w:val="00477878"/>
    <w:rsid w:val="00480088"/>
    <w:rsid w:val="00480966"/>
    <w:rsid w:val="00480B55"/>
    <w:rsid w:val="00480C8D"/>
    <w:rsid w:val="00481B71"/>
    <w:rsid w:val="00482530"/>
    <w:rsid w:val="00483330"/>
    <w:rsid w:val="00483CA8"/>
    <w:rsid w:val="00483CD4"/>
    <w:rsid w:val="0048403B"/>
    <w:rsid w:val="0048404A"/>
    <w:rsid w:val="004841D6"/>
    <w:rsid w:val="004842D6"/>
    <w:rsid w:val="00484FA7"/>
    <w:rsid w:val="00486042"/>
    <w:rsid w:val="0048682D"/>
    <w:rsid w:val="0048689F"/>
    <w:rsid w:val="00491BB9"/>
    <w:rsid w:val="00491DDC"/>
    <w:rsid w:val="00491FAE"/>
    <w:rsid w:val="004926AD"/>
    <w:rsid w:val="0049332C"/>
    <w:rsid w:val="00493378"/>
    <w:rsid w:val="00493D2A"/>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4047"/>
    <w:rsid w:val="004A4F57"/>
    <w:rsid w:val="004A6D7F"/>
    <w:rsid w:val="004A7472"/>
    <w:rsid w:val="004A76DD"/>
    <w:rsid w:val="004A791B"/>
    <w:rsid w:val="004B0965"/>
    <w:rsid w:val="004B0B93"/>
    <w:rsid w:val="004B2FB7"/>
    <w:rsid w:val="004B36D7"/>
    <w:rsid w:val="004B36F5"/>
    <w:rsid w:val="004B3C74"/>
    <w:rsid w:val="004B3E94"/>
    <w:rsid w:val="004B4311"/>
    <w:rsid w:val="004B4EC3"/>
    <w:rsid w:val="004B74FB"/>
    <w:rsid w:val="004C02D5"/>
    <w:rsid w:val="004C2FF9"/>
    <w:rsid w:val="004C3FCC"/>
    <w:rsid w:val="004C40FC"/>
    <w:rsid w:val="004C4B6D"/>
    <w:rsid w:val="004C5350"/>
    <w:rsid w:val="004C6595"/>
    <w:rsid w:val="004C6970"/>
    <w:rsid w:val="004C6BC0"/>
    <w:rsid w:val="004C7E4E"/>
    <w:rsid w:val="004D02A7"/>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F0707"/>
    <w:rsid w:val="004F0D66"/>
    <w:rsid w:val="004F1428"/>
    <w:rsid w:val="004F1C01"/>
    <w:rsid w:val="004F1DBB"/>
    <w:rsid w:val="004F2105"/>
    <w:rsid w:val="004F220F"/>
    <w:rsid w:val="004F2F8C"/>
    <w:rsid w:val="004F4BCE"/>
    <w:rsid w:val="004F4CE6"/>
    <w:rsid w:val="004F5242"/>
    <w:rsid w:val="004F6B8D"/>
    <w:rsid w:val="004F77E1"/>
    <w:rsid w:val="004F77EB"/>
    <w:rsid w:val="00500347"/>
    <w:rsid w:val="0050041E"/>
    <w:rsid w:val="00500A85"/>
    <w:rsid w:val="00501190"/>
    <w:rsid w:val="00501D2B"/>
    <w:rsid w:val="00501FA3"/>
    <w:rsid w:val="0050239D"/>
    <w:rsid w:val="0050391B"/>
    <w:rsid w:val="00503A21"/>
    <w:rsid w:val="00504F8B"/>
    <w:rsid w:val="005058FA"/>
    <w:rsid w:val="00505FBD"/>
    <w:rsid w:val="005060FD"/>
    <w:rsid w:val="00506565"/>
    <w:rsid w:val="00506D63"/>
    <w:rsid w:val="005074B5"/>
    <w:rsid w:val="00510D1D"/>
    <w:rsid w:val="0051197F"/>
    <w:rsid w:val="005120B8"/>
    <w:rsid w:val="00512C55"/>
    <w:rsid w:val="005130C7"/>
    <w:rsid w:val="00513391"/>
    <w:rsid w:val="00513728"/>
    <w:rsid w:val="005146F9"/>
    <w:rsid w:val="005149BC"/>
    <w:rsid w:val="00514CFD"/>
    <w:rsid w:val="005176F1"/>
    <w:rsid w:val="005205A4"/>
    <w:rsid w:val="005210F1"/>
    <w:rsid w:val="00521262"/>
    <w:rsid w:val="00521760"/>
    <w:rsid w:val="00521E7C"/>
    <w:rsid w:val="0052219E"/>
    <w:rsid w:val="00522511"/>
    <w:rsid w:val="005229C4"/>
    <w:rsid w:val="00523096"/>
    <w:rsid w:val="00523797"/>
    <w:rsid w:val="005237D0"/>
    <w:rsid w:val="0052387F"/>
    <w:rsid w:val="00524418"/>
    <w:rsid w:val="0052451F"/>
    <w:rsid w:val="00526CF5"/>
    <w:rsid w:val="00526EBB"/>
    <w:rsid w:val="00527863"/>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401DF"/>
    <w:rsid w:val="00540B77"/>
    <w:rsid w:val="00540DB4"/>
    <w:rsid w:val="0054107F"/>
    <w:rsid w:val="005413FE"/>
    <w:rsid w:val="00541543"/>
    <w:rsid w:val="005418FC"/>
    <w:rsid w:val="00541D37"/>
    <w:rsid w:val="00542350"/>
    <w:rsid w:val="00542843"/>
    <w:rsid w:val="0054296C"/>
    <w:rsid w:val="00543067"/>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CDD"/>
    <w:rsid w:val="00551262"/>
    <w:rsid w:val="005517C9"/>
    <w:rsid w:val="00551ABF"/>
    <w:rsid w:val="005527C2"/>
    <w:rsid w:val="00552900"/>
    <w:rsid w:val="00552D86"/>
    <w:rsid w:val="00553E73"/>
    <w:rsid w:val="00554BF0"/>
    <w:rsid w:val="00555167"/>
    <w:rsid w:val="005557B8"/>
    <w:rsid w:val="00556343"/>
    <w:rsid w:val="00560F82"/>
    <w:rsid w:val="005613AD"/>
    <w:rsid w:val="00562776"/>
    <w:rsid w:val="00562ABE"/>
    <w:rsid w:val="00562ED4"/>
    <w:rsid w:val="0056552D"/>
    <w:rsid w:val="00565585"/>
    <w:rsid w:val="0056666D"/>
    <w:rsid w:val="0056738D"/>
    <w:rsid w:val="005677F4"/>
    <w:rsid w:val="0056783F"/>
    <w:rsid w:val="00567BCC"/>
    <w:rsid w:val="00570702"/>
    <w:rsid w:val="005709AE"/>
    <w:rsid w:val="00570E66"/>
    <w:rsid w:val="005712BA"/>
    <w:rsid w:val="0057189D"/>
    <w:rsid w:val="00571FEA"/>
    <w:rsid w:val="00572582"/>
    <w:rsid w:val="00573E5B"/>
    <w:rsid w:val="00573E64"/>
    <w:rsid w:val="005761CF"/>
    <w:rsid w:val="00576FCA"/>
    <w:rsid w:val="00580B8A"/>
    <w:rsid w:val="00580C39"/>
    <w:rsid w:val="00580F9B"/>
    <w:rsid w:val="0058268C"/>
    <w:rsid w:val="00582824"/>
    <w:rsid w:val="00582D7A"/>
    <w:rsid w:val="00582F69"/>
    <w:rsid w:val="00583100"/>
    <w:rsid w:val="00583594"/>
    <w:rsid w:val="00583CB6"/>
    <w:rsid w:val="005842B1"/>
    <w:rsid w:val="00584790"/>
    <w:rsid w:val="00584D13"/>
    <w:rsid w:val="00585189"/>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3EB"/>
    <w:rsid w:val="00592C9D"/>
    <w:rsid w:val="005933C1"/>
    <w:rsid w:val="00593911"/>
    <w:rsid w:val="00593C6B"/>
    <w:rsid w:val="00594EDE"/>
    <w:rsid w:val="00595447"/>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BC6"/>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697B"/>
    <w:rsid w:val="005B6D4F"/>
    <w:rsid w:val="005B75DE"/>
    <w:rsid w:val="005B7B12"/>
    <w:rsid w:val="005C01CC"/>
    <w:rsid w:val="005C0449"/>
    <w:rsid w:val="005C0528"/>
    <w:rsid w:val="005C1E75"/>
    <w:rsid w:val="005C2374"/>
    <w:rsid w:val="005C2F15"/>
    <w:rsid w:val="005C3335"/>
    <w:rsid w:val="005C36EE"/>
    <w:rsid w:val="005C3799"/>
    <w:rsid w:val="005C403A"/>
    <w:rsid w:val="005C4EF1"/>
    <w:rsid w:val="005C5643"/>
    <w:rsid w:val="005C583F"/>
    <w:rsid w:val="005C58F8"/>
    <w:rsid w:val="005C604B"/>
    <w:rsid w:val="005C69C4"/>
    <w:rsid w:val="005C77BD"/>
    <w:rsid w:val="005C786A"/>
    <w:rsid w:val="005C7B4F"/>
    <w:rsid w:val="005C7C05"/>
    <w:rsid w:val="005D15F3"/>
    <w:rsid w:val="005D1944"/>
    <w:rsid w:val="005D1AAD"/>
    <w:rsid w:val="005D1D14"/>
    <w:rsid w:val="005D25FB"/>
    <w:rsid w:val="005D2AFB"/>
    <w:rsid w:val="005D2C8A"/>
    <w:rsid w:val="005D3702"/>
    <w:rsid w:val="005D4C83"/>
    <w:rsid w:val="005D6C54"/>
    <w:rsid w:val="005D7CB6"/>
    <w:rsid w:val="005E015B"/>
    <w:rsid w:val="005E0A93"/>
    <w:rsid w:val="005E12DE"/>
    <w:rsid w:val="005E13ED"/>
    <w:rsid w:val="005E217D"/>
    <w:rsid w:val="005E2326"/>
    <w:rsid w:val="005E24CC"/>
    <w:rsid w:val="005E2FE6"/>
    <w:rsid w:val="005E3388"/>
    <w:rsid w:val="005E3688"/>
    <w:rsid w:val="005E462B"/>
    <w:rsid w:val="005E4B39"/>
    <w:rsid w:val="005E620C"/>
    <w:rsid w:val="005E6EDA"/>
    <w:rsid w:val="005E6F5C"/>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7E4E"/>
    <w:rsid w:val="0060027D"/>
    <w:rsid w:val="00600659"/>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961"/>
    <w:rsid w:val="00620FFF"/>
    <w:rsid w:val="00621290"/>
    <w:rsid w:val="006223F3"/>
    <w:rsid w:val="00622B10"/>
    <w:rsid w:val="00622C48"/>
    <w:rsid w:val="006232B9"/>
    <w:rsid w:val="00624172"/>
    <w:rsid w:val="006248B9"/>
    <w:rsid w:val="00624AF9"/>
    <w:rsid w:val="00624C13"/>
    <w:rsid w:val="006250F2"/>
    <w:rsid w:val="006256D0"/>
    <w:rsid w:val="00626267"/>
    <w:rsid w:val="00626CA5"/>
    <w:rsid w:val="00627220"/>
    <w:rsid w:val="00627235"/>
    <w:rsid w:val="00627418"/>
    <w:rsid w:val="0062770D"/>
    <w:rsid w:val="00630CDC"/>
    <w:rsid w:val="00630E98"/>
    <w:rsid w:val="006315CE"/>
    <w:rsid w:val="00631FD7"/>
    <w:rsid w:val="00632C15"/>
    <w:rsid w:val="00632F3D"/>
    <w:rsid w:val="00633090"/>
    <w:rsid w:val="00633212"/>
    <w:rsid w:val="00634F3E"/>
    <w:rsid w:val="006357BE"/>
    <w:rsid w:val="00636789"/>
    <w:rsid w:val="00637422"/>
    <w:rsid w:val="006374B9"/>
    <w:rsid w:val="00637C57"/>
    <w:rsid w:val="00640BE4"/>
    <w:rsid w:val="006413C4"/>
    <w:rsid w:val="0064159E"/>
    <w:rsid w:val="00641F63"/>
    <w:rsid w:val="00642F0E"/>
    <w:rsid w:val="00642F44"/>
    <w:rsid w:val="00643264"/>
    <w:rsid w:val="00643879"/>
    <w:rsid w:val="00643E8D"/>
    <w:rsid w:val="00643F47"/>
    <w:rsid w:val="00644D60"/>
    <w:rsid w:val="0064533B"/>
    <w:rsid w:val="00645927"/>
    <w:rsid w:val="00645A26"/>
    <w:rsid w:val="00645F41"/>
    <w:rsid w:val="006463EB"/>
    <w:rsid w:val="00646F1A"/>
    <w:rsid w:val="00646F34"/>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2BB8"/>
    <w:rsid w:val="00662D89"/>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80B28"/>
    <w:rsid w:val="00681AD0"/>
    <w:rsid w:val="00681D47"/>
    <w:rsid w:val="00681F52"/>
    <w:rsid w:val="006821CF"/>
    <w:rsid w:val="00683293"/>
    <w:rsid w:val="00683AB3"/>
    <w:rsid w:val="00683B3E"/>
    <w:rsid w:val="0068404A"/>
    <w:rsid w:val="0068423A"/>
    <w:rsid w:val="00684AAC"/>
    <w:rsid w:val="00684F87"/>
    <w:rsid w:val="006858F5"/>
    <w:rsid w:val="00685E2C"/>
    <w:rsid w:val="00686070"/>
    <w:rsid w:val="00686BD5"/>
    <w:rsid w:val="00687928"/>
    <w:rsid w:val="006906AF"/>
    <w:rsid w:val="00690AC1"/>
    <w:rsid w:val="00690BFF"/>
    <w:rsid w:val="006912BE"/>
    <w:rsid w:val="00691428"/>
    <w:rsid w:val="00691C75"/>
    <w:rsid w:val="00691CCF"/>
    <w:rsid w:val="0069212B"/>
    <w:rsid w:val="006924CC"/>
    <w:rsid w:val="00693838"/>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354"/>
    <w:rsid w:val="006B161F"/>
    <w:rsid w:val="006B1BC5"/>
    <w:rsid w:val="006B1F6D"/>
    <w:rsid w:val="006B35F7"/>
    <w:rsid w:val="006B3B33"/>
    <w:rsid w:val="006B3D1A"/>
    <w:rsid w:val="006B494B"/>
    <w:rsid w:val="006B5634"/>
    <w:rsid w:val="006B5761"/>
    <w:rsid w:val="006B77A1"/>
    <w:rsid w:val="006B7DA3"/>
    <w:rsid w:val="006B7F56"/>
    <w:rsid w:val="006C0041"/>
    <w:rsid w:val="006C0373"/>
    <w:rsid w:val="006C11F9"/>
    <w:rsid w:val="006C1676"/>
    <w:rsid w:val="006C168D"/>
    <w:rsid w:val="006C196A"/>
    <w:rsid w:val="006C237B"/>
    <w:rsid w:val="006C2956"/>
    <w:rsid w:val="006C315A"/>
    <w:rsid w:val="006C379D"/>
    <w:rsid w:val="006C3985"/>
    <w:rsid w:val="006C3C0F"/>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EF0"/>
    <w:rsid w:val="007010BE"/>
    <w:rsid w:val="00701507"/>
    <w:rsid w:val="0070207F"/>
    <w:rsid w:val="00704504"/>
    <w:rsid w:val="00705144"/>
    <w:rsid w:val="00705673"/>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9CE"/>
    <w:rsid w:val="00722CFC"/>
    <w:rsid w:val="0072332E"/>
    <w:rsid w:val="00723955"/>
    <w:rsid w:val="00724292"/>
    <w:rsid w:val="00724627"/>
    <w:rsid w:val="00724A4D"/>
    <w:rsid w:val="00724B1F"/>
    <w:rsid w:val="00724D01"/>
    <w:rsid w:val="00724D3A"/>
    <w:rsid w:val="0072514E"/>
    <w:rsid w:val="00730810"/>
    <w:rsid w:val="007311DB"/>
    <w:rsid w:val="00731467"/>
    <w:rsid w:val="007317F3"/>
    <w:rsid w:val="007324BB"/>
    <w:rsid w:val="007328BD"/>
    <w:rsid w:val="007342F6"/>
    <w:rsid w:val="00734C42"/>
    <w:rsid w:val="00735535"/>
    <w:rsid w:val="00735733"/>
    <w:rsid w:val="0073676A"/>
    <w:rsid w:val="0073725A"/>
    <w:rsid w:val="0073734F"/>
    <w:rsid w:val="00737B53"/>
    <w:rsid w:val="00737B89"/>
    <w:rsid w:val="00737DD5"/>
    <w:rsid w:val="00741679"/>
    <w:rsid w:val="007417FA"/>
    <w:rsid w:val="00742983"/>
    <w:rsid w:val="00742B4A"/>
    <w:rsid w:val="00742C53"/>
    <w:rsid w:val="007433E3"/>
    <w:rsid w:val="007442A6"/>
    <w:rsid w:val="007453E0"/>
    <w:rsid w:val="0074563D"/>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E11"/>
    <w:rsid w:val="007601DE"/>
    <w:rsid w:val="00760393"/>
    <w:rsid w:val="00760500"/>
    <w:rsid w:val="0076073E"/>
    <w:rsid w:val="00761F28"/>
    <w:rsid w:val="00762382"/>
    <w:rsid w:val="007624FB"/>
    <w:rsid w:val="00763477"/>
    <w:rsid w:val="00764809"/>
    <w:rsid w:val="00765D41"/>
    <w:rsid w:val="00766326"/>
    <w:rsid w:val="0076687C"/>
    <w:rsid w:val="00766E55"/>
    <w:rsid w:val="007676C2"/>
    <w:rsid w:val="0076787D"/>
    <w:rsid w:val="00770679"/>
    <w:rsid w:val="00770F85"/>
    <w:rsid w:val="007710DB"/>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1975"/>
    <w:rsid w:val="0078228C"/>
    <w:rsid w:val="00782618"/>
    <w:rsid w:val="007834EC"/>
    <w:rsid w:val="007838D7"/>
    <w:rsid w:val="007846B8"/>
    <w:rsid w:val="00784C6F"/>
    <w:rsid w:val="00785798"/>
    <w:rsid w:val="0078625A"/>
    <w:rsid w:val="0078648D"/>
    <w:rsid w:val="007867EF"/>
    <w:rsid w:val="00786904"/>
    <w:rsid w:val="00786E51"/>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A09AA"/>
    <w:rsid w:val="007A0BEB"/>
    <w:rsid w:val="007A1F2D"/>
    <w:rsid w:val="007A23B8"/>
    <w:rsid w:val="007A2CC7"/>
    <w:rsid w:val="007A2DB2"/>
    <w:rsid w:val="007A3526"/>
    <w:rsid w:val="007A38E8"/>
    <w:rsid w:val="007A3AC3"/>
    <w:rsid w:val="007A3DC0"/>
    <w:rsid w:val="007A3E18"/>
    <w:rsid w:val="007A3E90"/>
    <w:rsid w:val="007A477E"/>
    <w:rsid w:val="007A520F"/>
    <w:rsid w:val="007A5385"/>
    <w:rsid w:val="007A58B3"/>
    <w:rsid w:val="007A5B2B"/>
    <w:rsid w:val="007A687A"/>
    <w:rsid w:val="007A6F54"/>
    <w:rsid w:val="007A76A1"/>
    <w:rsid w:val="007A77EA"/>
    <w:rsid w:val="007B04FD"/>
    <w:rsid w:val="007B05F7"/>
    <w:rsid w:val="007B09E3"/>
    <w:rsid w:val="007B0AA0"/>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28F0"/>
    <w:rsid w:val="007C2B69"/>
    <w:rsid w:val="007C347B"/>
    <w:rsid w:val="007C35DF"/>
    <w:rsid w:val="007C380B"/>
    <w:rsid w:val="007C3B89"/>
    <w:rsid w:val="007C3D4C"/>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E0B2F"/>
    <w:rsid w:val="007E106A"/>
    <w:rsid w:val="007E16C5"/>
    <w:rsid w:val="007E213C"/>
    <w:rsid w:val="007E3D95"/>
    <w:rsid w:val="007E430A"/>
    <w:rsid w:val="007E5976"/>
    <w:rsid w:val="007F030F"/>
    <w:rsid w:val="007F16AE"/>
    <w:rsid w:val="007F22F0"/>
    <w:rsid w:val="007F2EE7"/>
    <w:rsid w:val="007F3356"/>
    <w:rsid w:val="007F3DC0"/>
    <w:rsid w:val="007F4FED"/>
    <w:rsid w:val="007F64C6"/>
    <w:rsid w:val="007F6D52"/>
    <w:rsid w:val="00800108"/>
    <w:rsid w:val="0080016E"/>
    <w:rsid w:val="008001EC"/>
    <w:rsid w:val="008005CA"/>
    <w:rsid w:val="00800762"/>
    <w:rsid w:val="00800957"/>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6C1D"/>
    <w:rsid w:val="00816E93"/>
    <w:rsid w:val="00817F89"/>
    <w:rsid w:val="0082079E"/>
    <w:rsid w:val="00821925"/>
    <w:rsid w:val="00822724"/>
    <w:rsid w:val="008239C4"/>
    <w:rsid w:val="0082470D"/>
    <w:rsid w:val="0082472A"/>
    <w:rsid w:val="0082475F"/>
    <w:rsid w:val="00824781"/>
    <w:rsid w:val="0082483A"/>
    <w:rsid w:val="00824E1B"/>
    <w:rsid w:val="00825F53"/>
    <w:rsid w:val="00826B8F"/>
    <w:rsid w:val="008309CC"/>
    <w:rsid w:val="0083163F"/>
    <w:rsid w:val="00831ABB"/>
    <w:rsid w:val="00831CFB"/>
    <w:rsid w:val="0083223B"/>
    <w:rsid w:val="00833116"/>
    <w:rsid w:val="00833972"/>
    <w:rsid w:val="0083478F"/>
    <w:rsid w:val="00834B63"/>
    <w:rsid w:val="00835286"/>
    <w:rsid w:val="008363BD"/>
    <w:rsid w:val="00836A46"/>
    <w:rsid w:val="00836B80"/>
    <w:rsid w:val="00837C01"/>
    <w:rsid w:val="00840658"/>
    <w:rsid w:val="00840D1B"/>
    <w:rsid w:val="00841A7D"/>
    <w:rsid w:val="00841BF8"/>
    <w:rsid w:val="00841DC9"/>
    <w:rsid w:val="00842B9A"/>
    <w:rsid w:val="00843400"/>
    <w:rsid w:val="00843722"/>
    <w:rsid w:val="00843852"/>
    <w:rsid w:val="00845AE1"/>
    <w:rsid w:val="00845D5D"/>
    <w:rsid w:val="008460B3"/>
    <w:rsid w:val="00846100"/>
    <w:rsid w:val="008461AC"/>
    <w:rsid w:val="00847239"/>
    <w:rsid w:val="00847756"/>
    <w:rsid w:val="00847955"/>
    <w:rsid w:val="00847F8A"/>
    <w:rsid w:val="008505B8"/>
    <w:rsid w:val="00850CBE"/>
    <w:rsid w:val="00850F28"/>
    <w:rsid w:val="008512A4"/>
    <w:rsid w:val="008522A4"/>
    <w:rsid w:val="00852387"/>
    <w:rsid w:val="00852F17"/>
    <w:rsid w:val="00853819"/>
    <w:rsid w:val="00854333"/>
    <w:rsid w:val="008544D4"/>
    <w:rsid w:val="00854B15"/>
    <w:rsid w:val="00854F7F"/>
    <w:rsid w:val="008568D0"/>
    <w:rsid w:val="00856BBD"/>
    <w:rsid w:val="00856EFA"/>
    <w:rsid w:val="00857650"/>
    <w:rsid w:val="00860298"/>
    <w:rsid w:val="00860651"/>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30FA"/>
    <w:rsid w:val="008738D0"/>
    <w:rsid w:val="00873D88"/>
    <w:rsid w:val="00873EFC"/>
    <w:rsid w:val="008743E1"/>
    <w:rsid w:val="00875727"/>
    <w:rsid w:val="00875A11"/>
    <w:rsid w:val="008764C3"/>
    <w:rsid w:val="00876E29"/>
    <w:rsid w:val="00876FB5"/>
    <w:rsid w:val="00877DB1"/>
    <w:rsid w:val="00880A9C"/>
    <w:rsid w:val="00881A5A"/>
    <w:rsid w:val="00881BA8"/>
    <w:rsid w:val="00881FBF"/>
    <w:rsid w:val="0088221D"/>
    <w:rsid w:val="0088386C"/>
    <w:rsid w:val="008842A9"/>
    <w:rsid w:val="00885B41"/>
    <w:rsid w:val="00885D14"/>
    <w:rsid w:val="00887FA9"/>
    <w:rsid w:val="00891898"/>
    <w:rsid w:val="00891CAB"/>
    <w:rsid w:val="00892780"/>
    <w:rsid w:val="008927FD"/>
    <w:rsid w:val="00893082"/>
    <w:rsid w:val="00893546"/>
    <w:rsid w:val="00894135"/>
    <w:rsid w:val="00894593"/>
    <w:rsid w:val="008962BC"/>
    <w:rsid w:val="00896A93"/>
    <w:rsid w:val="00896C6F"/>
    <w:rsid w:val="00897110"/>
    <w:rsid w:val="008A170E"/>
    <w:rsid w:val="008A2049"/>
    <w:rsid w:val="008A335C"/>
    <w:rsid w:val="008A3583"/>
    <w:rsid w:val="008A3667"/>
    <w:rsid w:val="008A39DF"/>
    <w:rsid w:val="008A3FCA"/>
    <w:rsid w:val="008A47E7"/>
    <w:rsid w:val="008A508B"/>
    <w:rsid w:val="008A50CC"/>
    <w:rsid w:val="008A51AA"/>
    <w:rsid w:val="008A5A6B"/>
    <w:rsid w:val="008A5E82"/>
    <w:rsid w:val="008A6B60"/>
    <w:rsid w:val="008B1BB9"/>
    <w:rsid w:val="008B1F7F"/>
    <w:rsid w:val="008B2828"/>
    <w:rsid w:val="008B4902"/>
    <w:rsid w:val="008B4A95"/>
    <w:rsid w:val="008B51C7"/>
    <w:rsid w:val="008B534A"/>
    <w:rsid w:val="008B548B"/>
    <w:rsid w:val="008B6706"/>
    <w:rsid w:val="008B7135"/>
    <w:rsid w:val="008B74C2"/>
    <w:rsid w:val="008C0991"/>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507C"/>
    <w:rsid w:val="008D6449"/>
    <w:rsid w:val="008D6714"/>
    <w:rsid w:val="008D6F0F"/>
    <w:rsid w:val="008D787B"/>
    <w:rsid w:val="008E0280"/>
    <w:rsid w:val="008E0528"/>
    <w:rsid w:val="008E0F58"/>
    <w:rsid w:val="008E1249"/>
    <w:rsid w:val="008E1410"/>
    <w:rsid w:val="008E18FF"/>
    <w:rsid w:val="008E30F2"/>
    <w:rsid w:val="008E32D3"/>
    <w:rsid w:val="008E3F15"/>
    <w:rsid w:val="008E4257"/>
    <w:rsid w:val="008E4BA9"/>
    <w:rsid w:val="008E5285"/>
    <w:rsid w:val="008E5750"/>
    <w:rsid w:val="008E5C47"/>
    <w:rsid w:val="008E5C97"/>
    <w:rsid w:val="008E6A3A"/>
    <w:rsid w:val="008E76CC"/>
    <w:rsid w:val="008E7928"/>
    <w:rsid w:val="008F001A"/>
    <w:rsid w:val="008F0AD7"/>
    <w:rsid w:val="008F168A"/>
    <w:rsid w:val="008F3547"/>
    <w:rsid w:val="008F38DF"/>
    <w:rsid w:val="008F4408"/>
    <w:rsid w:val="008F448B"/>
    <w:rsid w:val="008F46AD"/>
    <w:rsid w:val="008F4F7A"/>
    <w:rsid w:val="008F5887"/>
    <w:rsid w:val="008F5E1F"/>
    <w:rsid w:val="008F620C"/>
    <w:rsid w:val="008F6DFF"/>
    <w:rsid w:val="008F7F48"/>
    <w:rsid w:val="008F7FB7"/>
    <w:rsid w:val="00900026"/>
    <w:rsid w:val="00900BD7"/>
    <w:rsid w:val="00900C64"/>
    <w:rsid w:val="00903546"/>
    <w:rsid w:val="0090380D"/>
    <w:rsid w:val="00903C61"/>
    <w:rsid w:val="00903C9D"/>
    <w:rsid w:val="009050EC"/>
    <w:rsid w:val="00905AB0"/>
    <w:rsid w:val="00905B13"/>
    <w:rsid w:val="00905D1E"/>
    <w:rsid w:val="009062D0"/>
    <w:rsid w:val="0090634B"/>
    <w:rsid w:val="009068A1"/>
    <w:rsid w:val="00906A91"/>
    <w:rsid w:val="00906F71"/>
    <w:rsid w:val="009070D2"/>
    <w:rsid w:val="009075B3"/>
    <w:rsid w:val="0091072A"/>
    <w:rsid w:val="00911B0E"/>
    <w:rsid w:val="00913774"/>
    <w:rsid w:val="00913CD3"/>
    <w:rsid w:val="00913D83"/>
    <w:rsid w:val="00914D0D"/>
    <w:rsid w:val="00915742"/>
    <w:rsid w:val="00915B94"/>
    <w:rsid w:val="009166B6"/>
    <w:rsid w:val="00917602"/>
    <w:rsid w:val="009177A5"/>
    <w:rsid w:val="00917BE3"/>
    <w:rsid w:val="009201CD"/>
    <w:rsid w:val="00920291"/>
    <w:rsid w:val="009207D0"/>
    <w:rsid w:val="009207FE"/>
    <w:rsid w:val="0092325C"/>
    <w:rsid w:val="00925BE7"/>
    <w:rsid w:val="0093059D"/>
    <w:rsid w:val="009308E0"/>
    <w:rsid w:val="00930E50"/>
    <w:rsid w:val="00931042"/>
    <w:rsid w:val="00931735"/>
    <w:rsid w:val="00931EDA"/>
    <w:rsid w:val="00932B9A"/>
    <w:rsid w:val="00932C3E"/>
    <w:rsid w:val="00933E5F"/>
    <w:rsid w:val="009340FD"/>
    <w:rsid w:val="00934AB9"/>
    <w:rsid w:val="00934E77"/>
    <w:rsid w:val="00935046"/>
    <w:rsid w:val="009351C1"/>
    <w:rsid w:val="00935532"/>
    <w:rsid w:val="0093580D"/>
    <w:rsid w:val="00935CBF"/>
    <w:rsid w:val="00935DFB"/>
    <w:rsid w:val="00936370"/>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C38"/>
    <w:rsid w:val="009453F2"/>
    <w:rsid w:val="009476CB"/>
    <w:rsid w:val="009478B9"/>
    <w:rsid w:val="00947AAB"/>
    <w:rsid w:val="00947E10"/>
    <w:rsid w:val="009503DA"/>
    <w:rsid w:val="00950A2D"/>
    <w:rsid w:val="00951940"/>
    <w:rsid w:val="009536A8"/>
    <w:rsid w:val="00954669"/>
    <w:rsid w:val="00954A47"/>
    <w:rsid w:val="00954CBA"/>
    <w:rsid w:val="00954DB8"/>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F3C"/>
    <w:rsid w:val="00967FB4"/>
    <w:rsid w:val="00970462"/>
    <w:rsid w:val="00970D06"/>
    <w:rsid w:val="00971586"/>
    <w:rsid w:val="00971637"/>
    <w:rsid w:val="0097279D"/>
    <w:rsid w:val="009734BF"/>
    <w:rsid w:val="009736A2"/>
    <w:rsid w:val="00973B37"/>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F62"/>
    <w:rsid w:val="00983238"/>
    <w:rsid w:val="00985B05"/>
    <w:rsid w:val="00985F83"/>
    <w:rsid w:val="0098640B"/>
    <w:rsid w:val="009869C5"/>
    <w:rsid w:val="00987533"/>
    <w:rsid w:val="00987687"/>
    <w:rsid w:val="00990790"/>
    <w:rsid w:val="00990FE6"/>
    <w:rsid w:val="00991017"/>
    <w:rsid w:val="00992714"/>
    <w:rsid w:val="00992C83"/>
    <w:rsid w:val="009933AE"/>
    <w:rsid w:val="00993CE5"/>
    <w:rsid w:val="00995524"/>
    <w:rsid w:val="0099579F"/>
    <w:rsid w:val="00995A9C"/>
    <w:rsid w:val="0099683F"/>
    <w:rsid w:val="00997216"/>
    <w:rsid w:val="009972FA"/>
    <w:rsid w:val="009A0E1C"/>
    <w:rsid w:val="009A1127"/>
    <w:rsid w:val="009A2CD3"/>
    <w:rsid w:val="009A3CAD"/>
    <w:rsid w:val="009A441A"/>
    <w:rsid w:val="009A4489"/>
    <w:rsid w:val="009A51C5"/>
    <w:rsid w:val="009A5280"/>
    <w:rsid w:val="009A5C2B"/>
    <w:rsid w:val="009A5D86"/>
    <w:rsid w:val="009A6196"/>
    <w:rsid w:val="009A6C32"/>
    <w:rsid w:val="009A72D7"/>
    <w:rsid w:val="009A77BA"/>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5DF3"/>
    <w:rsid w:val="009D5F31"/>
    <w:rsid w:val="009D66A8"/>
    <w:rsid w:val="009D6DA5"/>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73BC"/>
    <w:rsid w:val="009E7586"/>
    <w:rsid w:val="009E7EC3"/>
    <w:rsid w:val="009F00E2"/>
    <w:rsid w:val="009F00E5"/>
    <w:rsid w:val="009F014E"/>
    <w:rsid w:val="009F06CC"/>
    <w:rsid w:val="009F1604"/>
    <w:rsid w:val="009F1F1D"/>
    <w:rsid w:val="009F2850"/>
    <w:rsid w:val="009F2E92"/>
    <w:rsid w:val="009F3A61"/>
    <w:rsid w:val="009F3DE4"/>
    <w:rsid w:val="009F4403"/>
    <w:rsid w:val="009F518E"/>
    <w:rsid w:val="009F51C5"/>
    <w:rsid w:val="009F5821"/>
    <w:rsid w:val="009F5B19"/>
    <w:rsid w:val="009F5B69"/>
    <w:rsid w:val="009F6151"/>
    <w:rsid w:val="009F680E"/>
    <w:rsid w:val="009F6C81"/>
    <w:rsid w:val="009F6CED"/>
    <w:rsid w:val="009F7379"/>
    <w:rsid w:val="009F7508"/>
    <w:rsid w:val="009F776C"/>
    <w:rsid w:val="009F7863"/>
    <w:rsid w:val="00A00342"/>
    <w:rsid w:val="00A0098F"/>
    <w:rsid w:val="00A01577"/>
    <w:rsid w:val="00A02A2D"/>
    <w:rsid w:val="00A03E72"/>
    <w:rsid w:val="00A03FEA"/>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04"/>
    <w:rsid w:val="00A11A5F"/>
    <w:rsid w:val="00A1275E"/>
    <w:rsid w:val="00A135C8"/>
    <w:rsid w:val="00A15FF7"/>
    <w:rsid w:val="00A17DDB"/>
    <w:rsid w:val="00A21723"/>
    <w:rsid w:val="00A2187A"/>
    <w:rsid w:val="00A231B7"/>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FE"/>
    <w:rsid w:val="00A46338"/>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5F"/>
    <w:rsid w:val="00A62DE6"/>
    <w:rsid w:val="00A636B5"/>
    <w:rsid w:val="00A63C17"/>
    <w:rsid w:val="00A644F1"/>
    <w:rsid w:val="00A657A9"/>
    <w:rsid w:val="00A65D54"/>
    <w:rsid w:val="00A67B8F"/>
    <w:rsid w:val="00A67CB8"/>
    <w:rsid w:val="00A702F7"/>
    <w:rsid w:val="00A705E7"/>
    <w:rsid w:val="00A709B7"/>
    <w:rsid w:val="00A70C3B"/>
    <w:rsid w:val="00A716BC"/>
    <w:rsid w:val="00A717DA"/>
    <w:rsid w:val="00A71DD9"/>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927D8"/>
    <w:rsid w:val="00A92BFC"/>
    <w:rsid w:val="00A94299"/>
    <w:rsid w:val="00A94A14"/>
    <w:rsid w:val="00A94F53"/>
    <w:rsid w:val="00A966AD"/>
    <w:rsid w:val="00A96E57"/>
    <w:rsid w:val="00A97147"/>
    <w:rsid w:val="00A97C3B"/>
    <w:rsid w:val="00AA067B"/>
    <w:rsid w:val="00AA1634"/>
    <w:rsid w:val="00AA26A9"/>
    <w:rsid w:val="00AA3691"/>
    <w:rsid w:val="00AA3FC0"/>
    <w:rsid w:val="00AA6742"/>
    <w:rsid w:val="00AA6A79"/>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72D"/>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41F9"/>
    <w:rsid w:val="00AE5573"/>
    <w:rsid w:val="00AE5CB5"/>
    <w:rsid w:val="00AE7047"/>
    <w:rsid w:val="00AE75BC"/>
    <w:rsid w:val="00AE7C53"/>
    <w:rsid w:val="00AF10BC"/>
    <w:rsid w:val="00AF1D25"/>
    <w:rsid w:val="00AF1D8D"/>
    <w:rsid w:val="00AF29D9"/>
    <w:rsid w:val="00AF2C62"/>
    <w:rsid w:val="00AF316E"/>
    <w:rsid w:val="00AF3AB6"/>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2D90"/>
    <w:rsid w:val="00B030EE"/>
    <w:rsid w:val="00B03386"/>
    <w:rsid w:val="00B03C26"/>
    <w:rsid w:val="00B0476B"/>
    <w:rsid w:val="00B0486A"/>
    <w:rsid w:val="00B04DE8"/>
    <w:rsid w:val="00B05190"/>
    <w:rsid w:val="00B0538F"/>
    <w:rsid w:val="00B055B2"/>
    <w:rsid w:val="00B05D2E"/>
    <w:rsid w:val="00B06715"/>
    <w:rsid w:val="00B0692C"/>
    <w:rsid w:val="00B069B4"/>
    <w:rsid w:val="00B06E3C"/>
    <w:rsid w:val="00B07156"/>
    <w:rsid w:val="00B07D7C"/>
    <w:rsid w:val="00B102A8"/>
    <w:rsid w:val="00B1065C"/>
    <w:rsid w:val="00B12529"/>
    <w:rsid w:val="00B12E66"/>
    <w:rsid w:val="00B1364B"/>
    <w:rsid w:val="00B14023"/>
    <w:rsid w:val="00B1458D"/>
    <w:rsid w:val="00B200C5"/>
    <w:rsid w:val="00B2018D"/>
    <w:rsid w:val="00B20794"/>
    <w:rsid w:val="00B20887"/>
    <w:rsid w:val="00B208CA"/>
    <w:rsid w:val="00B21561"/>
    <w:rsid w:val="00B21676"/>
    <w:rsid w:val="00B21F55"/>
    <w:rsid w:val="00B22266"/>
    <w:rsid w:val="00B226DD"/>
    <w:rsid w:val="00B228D3"/>
    <w:rsid w:val="00B2308A"/>
    <w:rsid w:val="00B2333B"/>
    <w:rsid w:val="00B23DF0"/>
    <w:rsid w:val="00B241D5"/>
    <w:rsid w:val="00B24DC9"/>
    <w:rsid w:val="00B24FD1"/>
    <w:rsid w:val="00B2518F"/>
    <w:rsid w:val="00B251B4"/>
    <w:rsid w:val="00B25323"/>
    <w:rsid w:val="00B257E6"/>
    <w:rsid w:val="00B2631A"/>
    <w:rsid w:val="00B301B6"/>
    <w:rsid w:val="00B305D2"/>
    <w:rsid w:val="00B3088B"/>
    <w:rsid w:val="00B30C6A"/>
    <w:rsid w:val="00B31341"/>
    <w:rsid w:val="00B3183C"/>
    <w:rsid w:val="00B32C0C"/>
    <w:rsid w:val="00B33099"/>
    <w:rsid w:val="00B3405F"/>
    <w:rsid w:val="00B340C5"/>
    <w:rsid w:val="00B34171"/>
    <w:rsid w:val="00B34E3A"/>
    <w:rsid w:val="00B3547C"/>
    <w:rsid w:val="00B369A6"/>
    <w:rsid w:val="00B36F14"/>
    <w:rsid w:val="00B370A2"/>
    <w:rsid w:val="00B37961"/>
    <w:rsid w:val="00B37AD8"/>
    <w:rsid w:val="00B37FCF"/>
    <w:rsid w:val="00B40EEE"/>
    <w:rsid w:val="00B4173D"/>
    <w:rsid w:val="00B41F69"/>
    <w:rsid w:val="00B4315B"/>
    <w:rsid w:val="00B43660"/>
    <w:rsid w:val="00B442FE"/>
    <w:rsid w:val="00B443B0"/>
    <w:rsid w:val="00B445A4"/>
    <w:rsid w:val="00B4524F"/>
    <w:rsid w:val="00B4549A"/>
    <w:rsid w:val="00B454A5"/>
    <w:rsid w:val="00B454EC"/>
    <w:rsid w:val="00B45681"/>
    <w:rsid w:val="00B46A94"/>
    <w:rsid w:val="00B472E2"/>
    <w:rsid w:val="00B47428"/>
    <w:rsid w:val="00B47DBB"/>
    <w:rsid w:val="00B47F97"/>
    <w:rsid w:val="00B47FA4"/>
    <w:rsid w:val="00B5016D"/>
    <w:rsid w:val="00B5031D"/>
    <w:rsid w:val="00B5142F"/>
    <w:rsid w:val="00B5178A"/>
    <w:rsid w:val="00B51F83"/>
    <w:rsid w:val="00B52BC3"/>
    <w:rsid w:val="00B5318D"/>
    <w:rsid w:val="00B5365E"/>
    <w:rsid w:val="00B54244"/>
    <w:rsid w:val="00B54415"/>
    <w:rsid w:val="00B54DC4"/>
    <w:rsid w:val="00B5563B"/>
    <w:rsid w:val="00B562C5"/>
    <w:rsid w:val="00B56393"/>
    <w:rsid w:val="00B57165"/>
    <w:rsid w:val="00B57829"/>
    <w:rsid w:val="00B605CA"/>
    <w:rsid w:val="00B60B27"/>
    <w:rsid w:val="00B60C18"/>
    <w:rsid w:val="00B60E35"/>
    <w:rsid w:val="00B65045"/>
    <w:rsid w:val="00B666C1"/>
    <w:rsid w:val="00B66936"/>
    <w:rsid w:val="00B66A47"/>
    <w:rsid w:val="00B670DF"/>
    <w:rsid w:val="00B70206"/>
    <w:rsid w:val="00B70F6D"/>
    <w:rsid w:val="00B72203"/>
    <w:rsid w:val="00B72628"/>
    <w:rsid w:val="00B73838"/>
    <w:rsid w:val="00B73BF7"/>
    <w:rsid w:val="00B74894"/>
    <w:rsid w:val="00B74CB7"/>
    <w:rsid w:val="00B74FCF"/>
    <w:rsid w:val="00B7521B"/>
    <w:rsid w:val="00B75378"/>
    <w:rsid w:val="00B753D6"/>
    <w:rsid w:val="00B756D4"/>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42CE"/>
    <w:rsid w:val="00B974B4"/>
    <w:rsid w:val="00B97964"/>
    <w:rsid w:val="00B9798E"/>
    <w:rsid w:val="00BA0346"/>
    <w:rsid w:val="00BA161D"/>
    <w:rsid w:val="00BA19C2"/>
    <w:rsid w:val="00BA21A4"/>
    <w:rsid w:val="00BA4358"/>
    <w:rsid w:val="00BA4A85"/>
    <w:rsid w:val="00BA5921"/>
    <w:rsid w:val="00BA5D38"/>
    <w:rsid w:val="00BA5D73"/>
    <w:rsid w:val="00BA66DF"/>
    <w:rsid w:val="00BA6D9A"/>
    <w:rsid w:val="00BA6FEB"/>
    <w:rsid w:val="00BA794F"/>
    <w:rsid w:val="00BA7A16"/>
    <w:rsid w:val="00BB12D5"/>
    <w:rsid w:val="00BB1D92"/>
    <w:rsid w:val="00BB25A0"/>
    <w:rsid w:val="00BB2DEC"/>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753"/>
    <w:rsid w:val="00BC5F6B"/>
    <w:rsid w:val="00BC6251"/>
    <w:rsid w:val="00BC6436"/>
    <w:rsid w:val="00BC6745"/>
    <w:rsid w:val="00BC697D"/>
    <w:rsid w:val="00BC6BE7"/>
    <w:rsid w:val="00BC6C0C"/>
    <w:rsid w:val="00BC7EB0"/>
    <w:rsid w:val="00BD1060"/>
    <w:rsid w:val="00BD2980"/>
    <w:rsid w:val="00BD49DA"/>
    <w:rsid w:val="00BD4A64"/>
    <w:rsid w:val="00BD4B18"/>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B69"/>
    <w:rsid w:val="00BF111A"/>
    <w:rsid w:val="00BF2DF1"/>
    <w:rsid w:val="00BF2FD5"/>
    <w:rsid w:val="00BF3111"/>
    <w:rsid w:val="00BF4621"/>
    <w:rsid w:val="00BF4694"/>
    <w:rsid w:val="00BF5ABB"/>
    <w:rsid w:val="00BF5BAD"/>
    <w:rsid w:val="00BF6415"/>
    <w:rsid w:val="00BF647C"/>
    <w:rsid w:val="00BF66C9"/>
    <w:rsid w:val="00BF67FA"/>
    <w:rsid w:val="00BF6A7B"/>
    <w:rsid w:val="00BF6CB3"/>
    <w:rsid w:val="00BF759A"/>
    <w:rsid w:val="00C00E05"/>
    <w:rsid w:val="00C013DA"/>
    <w:rsid w:val="00C017DC"/>
    <w:rsid w:val="00C0273E"/>
    <w:rsid w:val="00C03FBB"/>
    <w:rsid w:val="00C04A59"/>
    <w:rsid w:val="00C04D2B"/>
    <w:rsid w:val="00C056AC"/>
    <w:rsid w:val="00C058D5"/>
    <w:rsid w:val="00C05F53"/>
    <w:rsid w:val="00C0725F"/>
    <w:rsid w:val="00C11540"/>
    <w:rsid w:val="00C13288"/>
    <w:rsid w:val="00C13A65"/>
    <w:rsid w:val="00C13C3F"/>
    <w:rsid w:val="00C13E19"/>
    <w:rsid w:val="00C141DF"/>
    <w:rsid w:val="00C14A76"/>
    <w:rsid w:val="00C15194"/>
    <w:rsid w:val="00C15660"/>
    <w:rsid w:val="00C15A48"/>
    <w:rsid w:val="00C1613A"/>
    <w:rsid w:val="00C1639A"/>
    <w:rsid w:val="00C1649F"/>
    <w:rsid w:val="00C16BAB"/>
    <w:rsid w:val="00C16D40"/>
    <w:rsid w:val="00C17F96"/>
    <w:rsid w:val="00C20219"/>
    <w:rsid w:val="00C203BD"/>
    <w:rsid w:val="00C20930"/>
    <w:rsid w:val="00C217CC"/>
    <w:rsid w:val="00C21851"/>
    <w:rsid w:val="00C21E1E"/>
    <w:rsid w:val="00C22512"/>
    <w:rsid w:val="00C22C7B"/>
    <w:rsid w:val="00C22DB7"/>
    <w:rsid w:val="00C237B2"/>
    <w:rsid w:val="00C24A78"/>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1BC"/>
    <w:rsid w:val="00C37A1B"/>
    <w:rsid w:val="00C37B3F"/>
    <w:rsid w:val="00C40262"/>
    <w:rsid w:val="00C4080D"/>
    <w:rsid w:val="00C41106"/>
    <w:rsid w:val="00C42C3D"/>
    <w:rsid w:val="00C431BE"/>
    <w:rsid w:val="00C43714"/>
    <w:rsid w:val="00C44CB6"/>
    <w:rsid w:val="00C45DD7"/>
    <w:rsid w:val="00C4633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548C"/>
    <w:rsid w:val="00C559ED"/>
    <w:rsid w:val="00C5660D"/>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3A6B"/>
    <w:rsid w:val="00C73C40"/>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40B"/>
    <w:rsid w:val="00C84410"/>
    <w:rsid w:val="00C84843"/>
    <w:rsid w:val="00C849E5"/>
    <w:rsid w:val="00C854D7"/>
    <w:rsid w:val="00C8670B"/>
    <w:rsid w:val="00C87C98"/>
    <w:rsid w:val="00C87E03"/>
    <w:rsid w:val="00C90552"/>
    <w:rsid w:val="00C908A8"/>
    <w:rsid w:val="00C910C7"/>
    <w:rsid w:val="00C92496"/>
    <w:rsid w:val="00C92FF1"/>
    <w:rsid w:val="00C934EF"/>
    <w:rsid w:val="00C93D56"/>
    <w:rsid w:val="00C940CB"/>
    <w:rsid w:val="00C944A3"/>
    <w:rsid w:val="00C958CC"/>
    <w:rsid w:val="00C96EB4"/>
    <w:rsid w:val="00C97908"/>
    <w:rsid w:val="00C97D5B"/>
    <w:rsid w:val="00CA1D6A"/>
    <w:rsid w:val="00CA2195"/>
    <w:rsid w:val="00CA243A"/>
    <w:rsid w:val="00CA5628"/>
    <w:rsid w:val="00CA5822"/>
    <w:rsid w:val="00CA5A3E"/>
    <w:rsid w:val="00CA771F"/>
    <w:rsid w:val="00CB0AAF"/>
    <w:rsid w:val="00CB1C61"/>
    <w:rsid w:val="00CB4062"/>
    <w:rsid w:val="00CB464E"/>
    <w:rsid w:val="00CB4703"/>
    <w:rsid w:val="00CB56D1"/>
    <w:rsid w:val="00CB5C91"/>
    <w:rsid w:val="00CB671C"/>
    <w:rsid w:val="00CB6EA9"/>
    <w:rsid w:val="00CB751D"/>
    <w:rsid w:val="00CB7521"/>
    <w:rsid w:val="00CB759D"/>
    <w:rsid w:val="00CB776F"/>
    <w:rsid w:val="00CB7A5C"/>
    <w:rsid w:val="00CC0096"/>
    <w:rsid w:val="00CC00BD"/>
    <w:rsid w:val="00CC017B"/>
    <w:rsid w:val="00CC1766"/>
    <w:rsid w:val="00CC199A"/>
    <w:rsid w:val="00CC2B7A"/>
    <w:rsid w:val="00CC4B2B"/>
    <w:rsid w:val="00CC6328"/>
    <w:rsid w:val="00CC6C54"/>
    <w:rsid w:val="00CC70D6"/>
    <w:rsid w:val="00CC764D"/>
    <w:rsid w:val="00CC781C"/>
    <w:rsid w:val="00CD05B2"/>
    <w:rsid w:val="00CD11E8"/>
    <w:rsid w:val="00CD18BE"/>
    <w:rsid w:val="00CD2A66"/>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21C"/>
    <w:rsid w:val="00D0134F"/>
    <w:rsid w:val="00D0141D"/>
    <w:rsid w:val="00D018F0"/>
    <w:rsid w:val="00D02999"/>
    <w:rsid w:val="00D035D1"/>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44E"/>
    <w:rsid w:val="00D127F4"/>
    <w:rsid w:val="00D129F2"/>
    <w:rsid w:val="00D12D6D"/>
    <w:rsid w:val="00D12F03"/>
    <w:rsid w:val="00D12F8A"/>
    <w:rsid w:val="00D13073"/>
    <w:rsid w:val="00D13C72"/>
    <w:rsid w:val="00D1595C"/>
    <w:rsid w:val="00D16509"/>
    <w:rsid w:val="00D168AA"/>
    <w:rsid w:val="00D16EC3"/>
    <w:rsid w:val="00D17284"/>
    <w:rsid w:val="00D17690"/>
    <w:rsid w:val="00D2019B"/>
    <w:rsid w:val="00D21F8A"/>
    <w:rsid w:val="00D222C7"/>
    <w:rsid w:val="00D22547"/>
    <w:rsid w:val="00D2274A"/>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40579"/>
    <w:rsid w:val="00D405A3"/>
    <w:rsid w:val="00D40DA5"/>
    <w:rsid w:val="00D43C7D"/>
    <w:rsid w:val="00D44466"/>
    <w:rsid w:val="00D446C2"/>
    <w:rsid w:val="00D447DC"/>
    <w:rsid w:val="00D44935"/>
    <w:rsid w:val="00D44DCE"/>
    <w:rsid w:val="00D44FAD"/>
    <w:rsid w:val="00D451D7"/>
    <w:rsid w:val="00D4637B"/>
    <w:rsid w:val="00D466E4"/>
    <w:rsid w:val="00D46C16"/>
    <w:rsid w:val="00D46D8D"/>
    <w:rsid w:val="00D50DCD"/>
    <w:rsid w:val="00D511F6"/>
    <w:rsid w:val="00D512B1"/>
    <w:rsid w:val="00D51356"/>
    <w:rsid w:val="00D5136C"/>
    <w:rsid w:val="00D52902"/>
    <w:rsid w:val="00D5313C"/>
    <w:rsid w:val="00D535E2"/>
    <w:rsid w:val="00D54BEB"/>
    <w:rsid w:val="00D566C3"/>
    <w:rsid w:val="00D5677A"/>
    <w:rsid w:val="00D575A5"/>
    <w:rsid w:val="00D604CA"/>
    <w:rsid w:val="00D610BD"/>
    <w:rsid w:val="00D6268F"/>
    <w:rsid w:val="00D6408E"/>
    <w:rsid w:val="00D64409"/>
    <w:rsid w:val="00D64472"/>
    <w:rsid w:val="00D646BA"/>
    <w:rsid w:val="00D649DA"/>
    <w:rsid w:val="00D66E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7BF"/>
    <w:rsid w:val="00D90C5C"/>
    <w:rsid w:val="00D91769"/>
    <w:rsid w:val="00D9203B"/>
    <w:rsid w:val="00D920B6"/>
    <w:rsid w:val="00D92470"/>
    <w:rsid w:val="00D92F26"/>
    <w:rsid w:val="00D93151"/>
    <w:rsid w:val="00D93DFB"/>
    <w:rsid w:val="00D945AC"/>
    <w:rsid w:val="00D9541A"/>
    <w:rsid w:val="00D95BE3"/>
    <w:rsid w:val="00D95EC7"/>
    <w:rsid w:val="00D96DD9"/>
    <w:rsid w:val="00D97EAF"/>
    <w:rsid w:val="00DA05BE"/>
    <w:rsid w:val="00DA07E2"/>
    <w:rsid w:val="00DA0895"/>
    <w:rsid w:val="00DA13B0"/>
    <w:rsid w:val="00DA21F9"/>
    <w:rsid w:val="00DA253C"/>
    <w:rsid w:val="00DA281D"/>
    <w:rsid w:val="00DA3819"/>
    <w:rsid w:val="00DA3A5A"/>
    <w:rsid w:val="00DA3F08"/>
    <w:rsid w:val="00DA445B"/>
    <w:rsid w:val="00DA4881"/>
    <w:rsid w:val="00DA49BD"/>
    <w:rsid w:val="00DA4ACF"/>
    <w:rsid w:val="00DA4ED9"/>
    <w:rsid w:val="00DA4F47"/>
    <w:rsid w:val="00DA5874"/>
    <w:rsid w:val="00DA590C"/>
    <w:rsid w:val="00DA614D"/>
    <w:rsid w:val="00DA739A"/>
    <w:rsid w:val="00DA73F6"/>
    <w:rsid w:val="00DA772D"/>
    <w:rsid w:val="00DB08FD"/>
    <w:rsid w:val="00DB0DA0"/>
    <w:rsid w:val="00DB1046"/>
    <w:rsid w:val="00DB1330"/>
    <w:rsid w:val="00DB24AC"/>
    <w:rsid w:val="00DB26B6"/>
    <w:rsid w:val="00DB2C93"/>
    <w:rsid w:val="00DB4060"/>
    <w:rsid w:val="00DB4772"/>
    <w:rsid w:val="00DB47B5"/>
    <w:rsid w:val="00DB504D"/>
    <w:rsid w:val="00DB56A2"/>
    <w:rsid w:val="00DB5714"/>
    <w:rsid w:val="00DB58A0"/>
    <w:rsid w:val="00DB6BA9"/>
    <w:rsid w:val="00DB7301"/>
    <w:rsid w:val="00DB7809"/>
    <w:rsid w:val="00DB796C"/>
    <w:rsid w:val="00DB7A50"/>
    <w:rsid w:val="00DC08C3"/>
    <w:rsid w:val="00DC15A4"/>
    <w:rsid w:val="00DC1720"/>
    <w:rsid w:val="00DC17F2"/>
    <w:rsid w:val="00DC1D62"/>
    <w:rsid w:val="00DC1D77"/>
    <w:rsid w:val="00DC2167"/>
    <w:rsid w:val="00DC23D4"/>
    <w:rsid w:val="00DC2D26"/>
    <w:rsid w:val="00DC4DBA"/>
    <w:rsid w:val="00DC4DDC"/>
    <w:rsid w:val="00DC5C51"/>
    <w:rsid w:val="00DC5EF0"/>
    <w:rsid w:val="00DC686A"/>
    <w:rsid w:val="00DC6B1E"/>
    <w:rsid w:val="00DC7D39"/>
    <w:rsid w:val="00DC7EE2"/>
    <w:rsid w:val="00DD022E"/>
    <w:rsid w:val="00DD08E9"/>
    <w:rsid w:val="00DD163B"/>
    <w:rsid w:val="00DD1D0A"/>
    <w:rsid w:val="00DD227F"/>
    <w:rsid w:val="00DD2DDF"/>
    <w:rsid w:val="00DD3916"/>
    <w:rsid w:val="00DD432F"/>
    <w:rsid w:val="00DD51C0"/>
    <w:rsid w:val="00DD5A11"/>
    <w:rsid w:val="00DD5DDE"/>
    <w:rsid w:val="00DD601C"/>
    <w:rsid w:val="00DD6AE0"/>
    <w:rsid w:val="00DD6BA6"/>
    <w:rsid w:val="00DE09F6"/>
    <w:rsid w:val="00DE16FA"/>
    <w:rsid w:val="00DE1BB1"/>
    <w:rsid w:val="00DE1C08"/>
    <w:rsid w:val="00DE23E5"/>
    <w:rsid w:val="00DE2842"/>
    <w:rsid w:val="00DE2AC7"/>
    <w:rsid w:val="00DE2D6B"/>
    <w:rsid w:val="00DE2FDD"/>
    <w:rsid w:val="00DE33CA"/>
    <w:rsid w:val="00DE3B55"/>
    <w:rsid w:val="00DE4CC0"/>
    <w:rsid w:val="00DE5371"/>
    <w:rsid w:val="00DE5576"/>
    <w:rsid w:val="00DE5608"/>
    <w:rsid w:val="00DE5629"/>
    <w:rsid w:val="00DE5943"/>
    <w:rsid w:val="00DE725E"/>
    <w:rsid w:val="00DF00B3"/>
    <w:rsid w:val="00DF158E"/>
    <w:rsid w:val="00DF1B9B"/>
    <w:rsid w:val="00DF1F60"/>
    <w:rsid w:val="00DF25B4"/>
    <w:rsid w:val="00DF2634"/>
    <w:rsid w:val="00DF3A1C"/>
    <w:rsid w:val="00DF403E"/>
    <w:rsid w:val="00DF485D"/>
    <w:rsid w:val="00DF48D5"/>
    <w:rsid w:val="00DF4C0A"/>
    <w:rsid w:val="00DF4DA4"/>
    <w:rsid w:val="00DF52F9"/>
    <w:rsid w:val="00DF5B6D"/>
    <w:rsid w:val="00DF5C3A"/>
    <w:rsid w:val="00DF5D8E"/>
    <w:rsid w:val="00DF6434"/>
    <w:rsid w:val="00DF6C95"/>
    <w:rsid w:val="00DF72CF"/>
    <w:rsid w:val="00DF7C61"/>
    <w:rsid w:val="00DF7FBB"/>
    <w:rsid w:val="00E00A30"/>
    <w:rsid w:val="00E01981"/>
    <w:rsid w:val="00E01F1D"/>
    <w:rsid w:val="00E024F2"/>
    <w:rsid w:val="00E02EA0"/>
    <w:rsid w:val="00E03A53"/>
    <w:rsid w:val="00E044F3"/>
    <w:rsid w:val="00E05890"/>
    <w:rsid w:val="00E05F8A"/>
    <w:rsid w:val="00E05FF3"/>
    <w:rsid w:val="00E068B8"/>
    <w:rsid w:val="00E06AFF"/>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24"/>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5AFB"/>
    <w:rsid w:val="00E35C2D"/>
    <w:rsid w:val="00E40D19"/>
    <w:rsid w:val="00E41CD1"/>
    <w:rsid w:val="00E4204C"/>
    <w:rsid w:val="00E429F0"/>
    <w:rsid w:val="00E42C33"/>
    <w:rsid w:val="00E43038"/>
    <w:rsid w:val="00E43673"/>
    <w:rsid w:val="00E44322"/>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40F8"/>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18A"/>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0CA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B0659"/>
    <w:rsid w:val="00EB102A"/>
    <w:rsid w:val="00EB1DBB"/>
    <w:rsid w:val="00EB258B"/>
    <w:rsid w:val="00EB2AC9"/>
    <w:rsid w:val="00EB2D41"/>
    <w:rsid w:val="00EB3DD0"/>
    <w:rsid w:val="00EB487C"/>
    <w:rsid w:val="00EB4906"/>
    <w:rsid w:val="00EB5232"/>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82A"/>
    <w:rsid w:val="00EC5A4C"/>
    <w:rsid w:val="00EC643D"/>
    <w:rsid w:val="00EC6478"/>
    <w:rsid w:val="00EC65CF"/>
    <w:rsid w:val="00EC6742"/>
    <w:rsid w:val="00EC74E4"/>
    <w:rsid w:val="00ED0D79"/>
    <w:rsid w:val="00ED303C"/>
    <w:rsid w:val="00ED38E0"/>
    <w:rsid w:val="00ED3A4F"/>
    <w:rsid w:val="00ED3A78"/>
    <w:rsid w:val="00ED4F3A"/>
    <w:rsid w:val="00ED5378"/>
    <w:rsid w:val="00ED5677"/>
    <w:rsid w:val="00ED57E7"/>
    <w:rsid w:val="00ED5BEA"/>
    <w:rsid w:val="00ED5EE4"/>
    <w:rsid w:val="00ED5FAD"/>
    <w:rsid w:val="00ED7B9D"/>
    <w:rsid w:val="00ED7F74"/>
    <w:rsid w:val="00EE1082"/>
    <w:rsid w:val="00EE10DC"/>
    <w:rsid w:val="00EE17AF"/>
    <w:rsid w:val="00EE300A"/>
    <w:rsid w:val="00EE3209"/>
    <w:rsid w:val="00EE355D"/>
    <w:rsid w:val="00EE5673"/>
    <w:rsid w:val="00EE5EF2"/>
    <w:rsid w:val="00EE6522"/>
    <w:rsid w:val="00EE6AA3"/>
    <w:rsid w:val="00EE6B38"/>
    <w:rsid w:val="00EE6C8B"/>
    <w:rsid w:val="00EE7C99"/>
    <w:rsid w:val="00EF0BC3"/>
    <w:rsid w:val="00EF1E14"/>
    <w:rsid w:val="00EF1F27"/>
    <w:rsid w:val="00EF29D3"/>
    <w:rsid w:val="00EF3BDF"/>
    <w:rsid w:val="00EF41F4"/>
    <w:rsid w:val="00EF4677"/>
    <w:rsid w:val="00EF4CED"/>
    <w:rsid w:val="00EF5329"/>
    <w:rsid w:val="00EF5A83"/>
    <w:rsid w:val="00EF7DA9"/>
    <w:rsid w:val="00F01487"/>
    <w:rsid w:val="00F01C89"/>
    <w:rsid w:val="00F02065"/>
    <w:rsid w:val="00F020CD"/>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860"/>
    <w:rsid w:val="00F1679F"/>
    <w:rsid w:val="00F167CF"/>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CD7"/>
    <w:rsid w:val="00F272C1"/>
    <w:rsid w:val="00F276A6"/>
    <w:rsid w:val="00F27CCE"/>
    <w:rsid w:val="00F300D0"/>
    <w:rsid w:val="00F30F15"/>
    <w:rsid w:val="00F3108E"/>
    <w:rsid w:val="00F3145D"/>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829"/>
    <w:rsid w:val="00F53212"/>
    <w:rsid w:val="00F53914"/>
    <w:rsid w:val="00F5398C"/>
    <w:rsid w:val="00F53F74"/>
    <w:rsid w:val="00F5403A"/>
    <w:rsid w:val="00F5462B"/>
    <w:rsid w:val="00F54BED"/>
    <w:rsid w:val="00F55FEB"/>
    <w:rsid w:val="00F56728"/>
    <w:rsid w:val="00F56778"/>
    <w:rsid w:val="00F56ED5"/>
    <w:rsid w:val="00F575D6"/>
    <w:rsid w:val="00F576B5"/>
    <w:rsid w:val="00F578E2"/>
    <w:rsid w:val="00F57DF6"/>
    <w:rsid w:val="00F60300"/>
    <w:rsid w:val="00F60B0B"/>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348"/>
    <w:rsid w:val="00F725B9"/>
    <w:rsid w:val="00F72978"/>
    <w:rsid w:val="00F732E2"/>
    <w:rsid w:val="00F746C2"/>
    <w:rsid w:val="00F74887"/>
    <w:rsid w:val="00F7562F"/>
    <w:rsid w:val="00F757DB"/>
    <w:rsid w:val="00F76325"/>
    <w:rsid w:val="00F76B3E"/>
    <w:rsid w:val="00F76F01"/>
    <w:rsid w:val="00F77E27"/>
    <w:rsid w:val="00F806C7"/>
    <w:rsid w:val="00F81132"/>
    <w:rsid w:val="00F816B5"/>
    <w:rsid w:val="00F81AE7"/>
    <w:rsid w:val="00F825EF"/>
    <w:rsid w:val="00F8357F"/>
    <w:rsid w:val="00F83592"/>
    <w:rsid w:val="00F83933"/>
    <w:rsid w:val="00F84198"/>
    <w:rsid w:val="00F8470A"/>
    <w:rsid w:val="00F8547A"/>
    <w:rsid w:val="00F8568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A0707"/>
    <w:rsid w:val="00FA0AD8"/>
    <w:rsid w:val="00FA0D10"/>
    <w:rsid w:val="00FA0E83"/>
    <w:rsid w:val="00FA0F8A"/>
    <w:rsid w:val="00FA0FA9"/>
    <w:rsid w:val="00FA220B"/>
    <w:rsid w:val="00FA373E"/>
    <w:rsid w:val="00FA4D7E"/>
    <w:rsid w:val="00FA5EBF"/>
    <w:rsid w:val="00FA6554"/>
    <w:rsid w:val="00FA6853"/>
    <w:rsid w:val="00FA789E"/>
    <w:rsid w:val="00FA7CBE"/>
    <w:rsid w:val="00FB0614"/>
    <w:rsid w:val="00FB0773"/>
    <w:rsid w:val="00FB140D"/>
    <w:rsid w:val="00FB167C"/>
    <w:rsid w:val="00FB19D6"/>
    <w:rsid w:val="00FB1A31"/>
    <w:rsid w:val="00FB1E18"/>
    <w:rsid w:val="00FB225B"/>
    <w:rsid w:val="00FB2313"/>
    <w:rsid w:val="00FB2351"/>
    <w:rsid w:val="00FB2ACA"/>
    <w:rsid w:val="00FB3558"/>
    <w:rsid w:val="00FB43BF"/>
    <w:rsid w:val="00FB4499"/>
    <w:rsid w:val="00FB4C73"/>
    <w:rsid w:val="00FB62AF"/>
    <w:rsid w:val="00FB7487"/>
    <w:rsid w:val="00FB7A1D"/>
    <w:rsid w:val="00FC0EA5"/>
    <w:rsid w:val="00FC1C92"/>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73D0"/>
    <w:rsid w:val="00FD76A6"/>
    <w:rsid w:val="00FE0125"/>
    <w:rsid w:val="00FE1BB6"/>
    <w:rsid w:val="00FE1FC4"/>
    <w:rsid w:val="00FE329F"/>
    <w:rsid w:val="00FE3BBA"/>
    <w:rsid w:val="00FE498C"/>
    <w:rsid w:val="00FE5653"/>
    <w:rsid w:val="00FE5AD1"/>
    <w:rsid w:val="00FE5E71"/>
    <w:rsid w:val="00FE6B9D"/>
    <w:rsid w:val="00FE73B8"/>
    <w:rsid w:val="00FE7B4B"/>
    <w:rsid w:val="00FF05C8"/>
    <w:rsid w:val="00FF073B"/>
    <w:rsid w:val="00FF0B8B"/>
    <w:rsid w:val="00FF0C24"/>
    <w:rsid w:val="00FF110A"/>
    <w:rsid w:val="00FF1E31"/>
    <w:rsid w:val="00FF250B"/>
    <w:rsid w:val="00FF2985"/>
    <w:rsid w:val="00FF3119"/>
    <w:rsid w:val="00FF3315"/>
    <w:rsid w:val="00FF5576"/>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630A5D"/>
  <w15:chartTrackingRefBased/>
  <w15:docId w15:val="{F2CEBEDC-9A21-4CAF-94CA-84D726C7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11"/>
    <w:uiPriority w:val="99"/>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6">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7">
    <w:name w:val="Balloon Text"/>
    <w:basedOn w:val="a"/>
    <w:link w:val="af8"/>
    <w:rsid w:val="00AB2810"/>
    <w:rPr>
      <w:rFonts w:ascii="Malgun Gothic" w:hAnsi="Malgun Gothic"/>
      <w:sz w:val="18"/>
      <w:szCs w:val="18"/>
    </w:rPr>
  </w:style>
  <w:style w:type="character" w:customStyle="1" w:styleId="af8">
    <w:name w:val="批注框文本 字符"/>
    <w:link w:val="af7"/>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9">
    <w:name w:val="annotation subject"/>
    <w:basedOn w:val="a7"/>
    <w:next w:val="a7"/>
    <w:link w:val="afa"/>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11">
    <w:name w:val="批注文字 字符1"/>
    <w:link w:val="a7"/>
    <w:rsid w:val="00A8176F"/>
    <w:rPr>
      <w:rFonts w:ascii="Arial" w:hAnsi="Arial"/>
      <w:lang w:val="en-GB" w:eastAsia="en-US"/>
    </w:rPr>
  </w:style>
  <w:style w:type="character" w:customStyle="1" w:styleId="afa">
    <w:name w:val="批注主题 字符"/>
    <w:link w:val="af9"/>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b">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c">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d">
    <w:name w:val="Title"/>
    <w:basedOn w:val="a"/>
    <w:next w:val="a"/>
    <w:link w:val="afe"/>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e">
    <w:name w:val="标题 字符"/>
    <w:link w:val="afd"/>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批注文字 字符"/>
    <w:uiPriority w:val="99"/>
    <w:rsid w:val="00B942CE"/>
    <w:rPr>
      <w:kern w:val="2"/>
      <w:sz w:val="21"/>
    </w:rPr>
  </w:style>
  <w:style w:type="character" w:styleId="aff0">
    <w:name w:val="Placeholder Text"/>
    <w:basedOn w:val="a1"/>
    <w:uiPriority w:val="99"/>
    <w:semiHidden/>
    <w:rsid w:val="0084340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19C277-9859-4101-B5FD-B9A56202F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362</Words>
  <Characters>2069</Characters>
  <Application>Microsoft Office Word</Application>
  <DocSecurity>0</DocSecurity>
  <Lines>17</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5</cp:revision>
  <cp:lastPrinted>2013-04-01T04:20:00Z</cp:lastPrinted>
  <dcterms:created xsi:type="dcterms:W3CDTF">2021-01-13T13:00:00Z</dcterms:created>
  <dcterms:modified xsi:type="dcterms:W3CDTF">2021-01-15T13:25:00Z</dcterms:modified>
</cp:coreProperties>
</file>